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87" w:rsidRDefault="00337B87" w:rsidP="006621F1">
      <w:pPr>
        <w:spacing w:after="0"/>
        <w:jc w:val="both"/>
        <w:rPr>
          <w:rFonts w:ascii="Century Gothic" w:eastAsia="Times New Roman" w:hAnsi="Century Gothic" w:cs="Courier New"/>
          <w:b/>
          <w:color w:val="212121"/>
          <w:sz w:val="24"/>
          <w:szCs w:val="24"/>
          <w:lang w:val="en-US" w:eastAsia="fr-FR"/>
        </w:rPr>
      </w:pPr>
      <w:r w:rsidRPr="00337B87">
        <w:rPr>
          <w:rFonts w:ascii="Century Gothic" w:eastAsia="Times New Roman" w:hAnsi="Century Gothic" w:cs="Courier New"/>
          <w:b/>
          <w:color w:val="212121"/>
          <w:sz w:val="24"/>
          <w:szCs w:val="24"/>
          <w:lang w:val="en-US" w:eastAsia="fr-FR"/>
        </w:rPr>
        <w:t>THERMAL FRONT DYNAMICS IN THE MAURITANIAN ZEE DURING 2018</w:t>
      </w:r>
    </w:p>
    <w:p w:rsidR="00337B87" w:rsidRDefault="00337B87" w:rsidP="006621F1">
      <w:pPr>
        <w:spacing w:after="0"/>
        <w:jc w:val="both"/>
        <w:rPr>
          <w:rFonts w:ascii="Century Gothic" w:eastAsia="Times New Roman" w:hAnsi="Century Gothic" w:cs="Courier New"/>
          <w:b/>
          <w:color w:val="212121"/>
          <w:sz w:val="24"/>
          <w:szCs w:val="24"/>
          <w:lang w:val="en-US" w:eastAsia="fr-FR"/>
        </w:rPr>
      </w:pPr>
      <w:r>
        <w:rPr>
          <w:rFonts w:ascii="Century Gothic" w:eastAsia="Times New Roman" w:hAnsi="Century Gothic" w:cs="Courier New"/>
          <w:b/>
          <w:color w:val="212121"/>
          <w:sz w:val="24"/>
          <w:szCs w:val="24"/>
          <w:lang w:val="en-US" w:eastAsia="fr-FR"/>
        </w:rPr>
        <w:t xml:space="preserve">By: </w:t>
      </w:r>
      <w:proofErr w:type="spellStart"/>
      <w:r w:rsidRPr="00337B87">
        <w:rPr>
          <w:rFonts w:ascii="Century Gothic" w:eastAsia="Times New Roman" w:hAnsi="Century Gothic" w:cs="Courier New"/>
          <w:b/>
          <w:color w:val="212121"/>
          <w:sz w:val="24"/>
          <w:szCs w:val="24"/>
          <w:lang w:val="en-US" w:eastAsia="fr-FR"/>
        </w:rPr>
        <w:t>Bambaye</w:t>
      </w:r>
      <w:proofErr w:type="spellEnd"/>
      <w:r w:rsidRPr="00337B87">
        <w:rPr>
          <w:rFonts w:ascii="Century Gothic" w:eastAsia="Times New Roman" w:hAnsi="Century Gothic" w:cs="Courier New"/>
          <w:b/>
          <w:color w:val="212121"/>
          <w:sz w:val="24"/>
          <w:szCs w:val="24"/>
          <w:lang w:val="en-US" w:eastAsia="fr-FR"/>
        </w:rPr>
        <w:t xml:space="preserve"> Hamady &amp; Dia Abdou</w:t>
      </w:r>
    </w:p>
    <w:p w:rsidR="00337B87" w:rsidRPr="00337B87" w:rsidRDefault="00337B87" w:rsidP="006621F1">
      <w:pPr>
        <w:spacing w:after="0"/>
        <w:jc w:val="both"/>
        <w:rPr>
          <w:rFonts w:ascii="Century Gothic" w:eastAsia="Times New Roman" w:hAnsi="Century Gothic" w:cs="Courier New"/>
          <w:b/>
          <w:color w:val="212121"/>
          <w:sz w:val="24"/>
          <w:szCs w:val="24"/>
          <w:lang w:val="en-US" w:eastAsia="fr-FR"/>
        </w:rPr>
      </w:pPr>
    </w:p>
    <w:p w:rsidR="00B915A0" w:rsidRPr="006621F1" w:rsidRDefault="00CA7E58" w:rsidP="006621F1">
      <w:pPr>
        <w:spacing w:after="0"/>
        <w:jc w:val="both"/>
        <w:rPr>
          <w:rFonts w:ascii="Century Gothic" w:hAnsi="Century Gothic"/>
          <w:color w:val="212121"/>
          <w:sz w:val="24"/>
          <w:szCs w:val="24"/>
          <w:lang w:val="en-US"/>
        </w:rPr>
      </w:pPr>
      <w:r w:rsidRPr="006621F1">
        <w:rPr>
          <w:rFonts w:ascii="Century Gothic" w:eastAsia="Times New Roman" w:hAnsi="Century Gothic" w:cs="Courier New"/>
          <w:color w:val="212121"/>
          <w:sz w:val="24"/>
          <w:szCs w:val="24"/>
          <w:lang w:val="en-US" w:eastAsia="fr-FR"/>
        </w:rPr>
        <w:t xml:space="preserve">The south Atlantic water </w:t>
      </w:r>
      <w:r w:rsidR="009B0D84" w:rsidRPr="006621F1">
        <w:rPr>
          <w:rFonts w:ascii="Century Gothic" w:hAnsi="Century Gothic"/>
          <w:color w:val="212121"/>
          <w:sz w:val="24"/>
          <w:szCs w:val="24"/>
          <w:lang w:val="en-US"/>
        </w:rPr>
        <w:t>bodies</w:t>
      </w:r>
      <w:r w:rsidRPr="006621F1">
        <w:rPr>
          <w:rFonts w:ascii="Century Gothic" w:eastAsia="Times New Roman" w:hAnsi="Century Gothic" w:cs="Courier New"/>
          <w:color w:val="212121"/>
          <w:sz w:val="24"/>
          <w:szCs w:val="24"/>
          <w:lang w:val="en-US" w:eastAsia="fr-FR"/>
        </w:rPr>
        <w:t xml:space="preserve"> which have a vertical layer of 30 to 40 m coming from the equatorial counter current</w:t>
      </w:r>
      <w:r w:rsidRPr="006621F1">
        <w:rPr>
          <w:rFonts w:ascii="Century Gothic" w:hAnsi="Century Gothic"/>
          <w:color w:val="212121"/>
          <w:sz w:val="24"/>
          <w:szCs w:val="24"/>
          <w:lang w:val="en-US"/>
        </w:rPr>
        <w:t xml:space="preserve">, sometimes called Guinean waters, reach their northern border (20°50’N) during the hot season. </w:t>
      </w:r>
      <w:r w:rsidR="007C220B" w:rsidRPr="006621F1">
        <w:rPr>
          <w:rFonts w:ascii="Century Gothic" w:hAnsi="Century Gothic"/>
          <w:color w:val="212121"/>
          <w:sz w:val="24"/>
          <w:szCs w:val="24"/>
          <w:lang w:val="en-US"/>
        </w:rPr>
        <w:t xml:space="preserve">These waters are hot (26.8 - 28.8°C) </w:t>
      </w:r>
      <w:r w:rsidRPr="006621F1">
        <w:rPr>
          <w:rFonts w:ascii="Century Gothic" w:hAnsi="Century Gothic"/>
          <w:color w:val="212121"/>
          <w:sz w:val="24"/>
          <w:szCs w:val="24"/>
          <w:lang w:val="en-US"/>
        </w:rPr>
        <w:t xml:space="preserve">and relatively less salty </w:t>
      </w:r>
      <w:r w:rsidR="007C220B" w:rsidRPr="006621F1">
        <w:rPr>
          <w:rFonts w:ascii="Century Gothic" w:hAnsi="Century Gothic"/>
          <w:color w:val="212121"/>
          <w:sz w:val="24"/>
          <w:szCs w:val="24"/>
          <w:lang w:val="en-US"/>
        </w:rPr>
        <w:t xml:space="preserve">(34.00 - 35.5 </w:t>
      </w:r>
      <w:proofErr w:type="spellStart"/>
      <w:r w:rsidR="007C220B" w:rsidRPr="006621F1">
        <w:rPr>
          <w:rFonts w:ascii="Century Gothic" w:hAnsi="Century Gothic"/>
          <w:color w:val="212121"/>
          <w:sz w:val="24"/>
          <w:szCs w:val="24"/>
          <w:lang w:val="en-US"/>
        </w:rPr>
        <w:t>psu</w:t>
      </w:r>
      <w:proofErr w:type="spellEnd"/>
      <w:r w:rsidR="007C220B" w:rsidRPr="006621F1">
        <w:rPr>
          <w:rFonts w:ascii="Century Gothic" w:hAnsi="Century Gothic"/>
          <w:color w:val="212121"/>
          <w:sz w:val="24"/>
          <w:szCs w:val="24"/>
          <w:lang w:val="en-US"/>
        </w:rPr>
        <w:t xml:space="preserve">) </w:t>
      </w:r>
      <w:r w:rsidRPr="006621F1">
        <w:rPr>
          <w:rFonts w:ascii="Century Gothic" w:hAnsi="Century Gothic"/>
          <w:color w:val="212121"/>
          <w:sz w:val="24"/>
          <w:szCs w:val="24"/>
          <w:lang w:val="en-US"/>
        </w:rPr>
        <w:t>because of the flow of African continental waters</w:t>
      </w:r>
      <w:r w:rsidR="0010720F" w:rsidRPr="006621F1">
        <w:rPr>
          <w:rFonts w:ascii="Century Gothic" w:hAnsi="Century Gothic"/>
          <w:color w:val="212121"/>
          <w:sz w:val="24"/>
          <w:szCs w:val="24"/>
          <w:lang w:val="en-US"/>
        </w:rPr>
        <w:t xml:space="preserve"> (</w:t>
      </w:r>
      <w:proofErr w:type="spellStart"/>
      <w:r w:rsidR="0010720F" w:rsidRPr="006621F1">
        <w:rPr>
          <w:rFonts w:ascii="Century Gothic" w:hAnsi="Century Gothic"/>
          <w:color w:val="212121"/>
          <w:sz w:val="24"/>
          <w:szCs w:val="24"/>
          <w:lang w:val="en-US"/>
        </w:rPr>
        <w:t>Debravolskya</w:t>
      </w:r>
      <w:proofErr w:type="spellEnd"/>
      <w:r w:rsidR="0010720F" w:rsidRPr="006621F1">
        <w:rPr>
          <w:rFonts w:ascii="Century Gothic" w:hAnsi="Century Gothic"/>
          <w:color w:val="212121"/>
          <w:sz w:val="24"/>
          <w:szCs w:val="24"/>
          <w:lang w:val="en-US"/>
        </w:rPr>
        <w:t xml:space="preserve"> </w:t>
      </w:r>
      <w:proofErr w:type="gramStart"/>
      <w:r w:rsidR="0010720F" w:rsidRPr="006621F1">
        <w:rPr>
          <w:rFonts w:ascii="Century Gothic" w:hAnsi="Century Gothic"/>
          <w:color w:val="212121"/>
          <w:sz w:val="24"/>
          <w:szCs w:val="24"/>
          <w:lang w:val="en-US"/>
        </w:rPr>
        <w:t>1964 ;</w:t>
      </w:r>
      <w:proofErr w:type="gramEnd"/>
      <w:r w:rsidR="0010720F" w:rsidRPr="006621F1">
        <w:rPr>
          <w:rFonts w:ascii="Century Gothic" w:hAnsi="Century Gothic"/>
          <w:color w:val="212121"/>
          <w:sz w:val="24"/>
          <w:szCs w:val="24"/>
          <w:lang w:val="en-US"/>
        </w:rPr>
        <w:t xml:space="preserve"> </w:t>
      </w:r>
      <w:proofErr w:type="spellStart"/>
      <w:r w:rsidR="0010720F" w:rsidRPr="006621F1">
        <w:rPr>
          <w:rFonts w:ascii="Century Gothic" w:hAnsi="Century Gothic"/>
          <w:color w:val="212121"/>
          <w:sz w:val="24"/>
          <w:szCs w:val="24"/>
          <w:lang w:val="en-US"/>
        </w:rPr>
        <w:t>Manriques</w:t>
      </w:r>
      <w:proofErr w:type="spellEnd"/>
      <w:r w:rsidR="0010720F" w:rsidRPr="006621F1">
        <w:rPr>
          <w:rFonts w:ascii="Century Gothic" w:hAnsi="Century Gothic"/>
          <w:color w:val="212121"/>
          <w:sz w:val="24"/>
          <w:szCs w:val="24"/>
          <w:lang w:val="en-US"/>
        </w:rPr>
        <w:t xml:space="preserve"> and Fraga 1982). They alternate seasonally with the North Atlantic surface water </w:t>
      </w:r>
      <w:r w:rsidR="00EF0248" w:rsidRPr="006621F1">
        <w:rPr>
          <w:rFonts w:ascii="Century Gothic" w:hAnsi="Century Gothic"/>
          <w:color w:val="212121"/>
          <w:sz w:val="24"/>
          <w:szCs w:val="24"/>
          <w:lang w:val="en-US"/>
        </w:rPr>
        <w:t xml:space="preserve">bodies, which occupy the northern part </w:t>
      </w:r>
      <w:r w:rsidR="0010720F" w:rsidRPr="006621F1">
        <w:rPr>
          <w:rFonts w:ascii="Century Gothic" w:hAnsi="Century Gothic"/>
          <w:color w:val="212121"/>
          <w:sz w:val="24"/>
          <w:szCs w:val="24"/>
          <w:lang w:val="en-US"/>
        </w:rPr>
        <w:t xml:space="preserve">of the region and </w:t>
      </w:r>
      <w:r w:rsidR="00EF0248" w:rsidRPr="006621F1">
        <w:rPr>
          <w:rFonts w:ascii="Century Gothic" w:hAnsi="Century Gothic"/>
          <w:color w:val="212121"/>
          <w:sz w:val="24"/>
          <w:szCs w:val="24"/>
          <w:lang w:val="en-US"/>
        </w:rPr>
        <w:t>a</w:t>
      </w:r>
      <w:r w:rsidR="0010720F" w:rsidRPr="006621F1">
        <w:rPr>
          <w:rFonts w:ascii="Century Gothic" w:hAnsi="Century Gothic"/>
          <w:color w:val="212121"/>
          <w:sz w:val="24"/>
          <w:szCs w:val="24"/>
          <w:lang w:val="en-US"/>
        </w:rPr>
        <w:t xml:space="preserve"> layer </w:t>
      </w:r>
      <w:r w:rsidR="00EF0248" w:rsidRPr="006621F1">
        <w:rPr>
          <w:rFonts w:ascii="Century Gothic" w:hAnsi="Century Gothic"/>
          <w:color w:val="212121"/>
          <w:sz w:val="24"/>
          <w:szCs w:val="24"/>
          <w:lang w:val="en-US"/>
        </w:rPr>
        <w:t>from</w:t>
      </w:r>
      <w:r w:rsidR="0010720F" w:rsidRPr="006621F1">
        <w:rPr>
          <w:rFonts w:ascii="Century Gothic" w:hAnsi="Century Gothic"/>
          <w:color w:val="212121"/>
          <w:sz w:val="24"/>
          <w:szCs w:val="24"/>
          <w:lang w:val="en-US"/>
        </w:rPr>
        <w:t xml:space="preserve"> the surface to </w:t>
      </w:r>
      <w:r w:rsidR="0010720F" w:rsidRPr="006621F1">
        <w:rPr>
          <w:rFonts w:ascii="Century Gothic" w:hAnsi="Century Gothic"/>
          <w:color w:val="212121"/>
          <w:sz w:val="24"/>
          <w:szCs w:val="24"/>
          <w:highlight w:val="yellow"/>
          <w:lang w:val="en-US"/>
        </w:rPr>
        <w:t>depths of 100 to 150m</w:t>
      </w:r>
      <w:r w:rsidR="00EF0248" w:rsidRPr="006621F1">
        <w:rPr>
          <w:rFonts w:ascii="Century Gothic" w:hAnsi="Century Gothic"/>
          <w:color w:val="212121"/>
          <w:sz w:val="24"/>
          <w:szCs w:val="24"/>
          <w:lang w:val="en-US"/>
        </w:rPr>
        <w:t xml:space="preserve"> (to 100 - 150m deep). </w:t>
      </w:r>
      <w:r w:rsidR="009B0D84" w:rsidRPr="006621F1">
        <w:rPr>
          <w:rFonts w:ascii="Century Gothic" w:hAnsi="Century Gothic"/>
          <w:color w:val="212121"/>
          <w:sz w:val="24"/>
          <w:szCs w:val="24"/>
          <w:lang w:val="en-US"/>
        </w:rPr>
        <w:t>These water bodies are formed by the southern branch of the Canary current. They undergo considerable special transformations</w:t>
      </w:r>
      <w:r w:rsidR="00B915A0" w:rsidRPr="006621F1">
        <w:rPr>
          <w:rFonts w:ascii="Century Gothic" w:hAnsi="Century Gothic"/>
          <w:color w:val="212121"/>
          <w:sz w:val="24"/>
          <w:szCs w:val="24"/>
          <w:lang w:val="en-US"/>
        </w:rPr>
        <w:t xml:space="preserve"> </w:t>
      </w:r>
      <w:r w:rsidR="00B915A0" w:rsidRPr="006621F1">
        <w:rPr>
          <w:rFonts w:ascii="Century Gothic" w:hAnsi="Century Gothic"/>
          <w:color w:val="212121"/>
          <w:sz w:val="24"/>
          <w:szCs w:val="24"/>
          <w:highlight w:val="yellow"/>
          <w:lang w:val="en-US"/>
        </w:rPr>
        <w:t>which are</w:t>
      </w:r>
      <w:r w:rsidR="009B0D84" w:rsidRPr="006621F1">
        <w:rPr>
          <w:rFonts w:ascii="Century Gothic" w:hAnsi="Century Gothic"/>
          <w:color w:val="212121"/>
          <w:sz w:val="24"/>
          <w:szCs w:val="24"/>
          <w:lang w:val="en-US"/>
        </w:rPr>
        <w:t xml:space="preserve"> conditioned by the influence of the atmosphere. </w:t>
      </w:r>
      <w:r w:rsidR="00B915A0" w:rsidRPr="006621F1">
        <w:rPr>
          <w:rFonts w:ascii="Century Gothic" w:hAnsi="Century Gothic"/>
          <w:color w:val="212121"/>
          <w:sz w:val="24"/>
          <w:szCs w:val="24"/>
          <w:lang w:val="en-US"/>
        </w:rPr>
        <w:t>T</w:t>
      </w:r>
      <w:r w:rsidR="009B0D84" w:rsidRPr="006621F1">
        <w:rPr>
          <w:rFonts w:ascii="Century Gothic" w:hAnsi="Century Gothic"/>
          <w:color w:val="212121"/>
          <w:sz w:val="24"/>
          <w:szCs w:val="24"/>
          <w:lang w:val="en-US"/>
        </w:rPr>
        <w:t>hey</w:t>
      </w:r>
      <w:r w:rsidR="00B915A0" w:rsidRPr="006621F1">
        <w:rPr>
          <w:rFonts w:ascii="Century Gothic" w:hAnsi="Century Gothic"/>
          <w:color w:val="212121"/>
          <w:sz w:val="24"/>
          <w:szCs w:val="24"/>
          <w:lang w:val="en-US"/>
        </w:rPr>
        <w:t xml:space="preserve"> </w:t>
      </w:r>
      <w:r w:rsidR="009B0D84" w:rsidRPr="006621F1">
        <w:rPr>
          <w:rFonts w:ascii="Century Gothic" w:hAnsi="Century Gothic"/>
          <w:color w:val="212121"/>
          <w:sz w:val="24"/>
          <w:szCs w:val="24"/>
          <w:lang w:val="en-US"/>
        </w:rPr>
        <w:t>are chara</w:t>
      </w:r>
      <w:r w:rsidR="00B915A0" w:rsidRPr="006621F1">
        <w:rPr>
          <w:rFonts w:ascii="Century Gothic" w:hAnsi="Century Gothic"/>
          <w:color w:val="212121"/>
          <w:sz w:val="24"/>
          <w:szCs w:val="24"/>
          <w:lang w:val="en-US"/>
        </w:rPr>
        <w:t>cterized by cold waters (16 - 24°</w:t>
      </w:r>
      <w:r w:rsidR="009B0D84" w:rsidRPr="006621F1">
        <w:rPr>
          <w:rFonts w:ascii="Century Gothic" w:hAnsi="Century Gothic"/>
          <w:color w:val="212121"/>
          <w:sz w:val="24"/>
          <w:szCs w:val="24"/>
          <w:lang w:val="en-US"/>
        </w:rPr>
        <w:t>C) and relatively salty</w:t>
      </w:r>
      <w:r w:rsidR="00B915A0" w:rsidRPr="006621F1">
        <w:rPr>
          <w:rFonts w:ascii="Century Gothic" w:hAnsi="Century Gothic"/>
          <w:color w:val="212121"/>
          <w:sz w:val="24"/>
          <w:szCs w:val="24"/>
          <w:lang w:val="en-US"/>
        </w:rPr>
        <w:t xml:space="preserve"> (35.9 - 36.70 </w:t>
      </w:r>
      <w:proofErr w:type="spellStart"/>
      <w:r w:rsidR="00B915A0" w:rsidRPr="006621F1">
        <w:rPr>
          <w:rFonts w:ascii="Century Gothic" w:hAnsi="Century Gothic"/>
          <w:color w:val="212121"/>
          <w:sz w:val="24"/>
          <w:szCs w:val="24"/>
          <w:lang w:val="en-US"/>
        </w:rPr>
        <w:t>psu</w:t>
      </w:r>
      <w:proofErr w:type="spellEnd"/>
      <w:r w:rsidR="00B915A0" w:rsidRPr="006621F1">
        <w:rPr>
          <w:rFonts w:ascii="Century Gothic" w:hAnsi="Century Gothic"/>
          <w:color w:val="212121"/>
          <w:sz w:val="24"/>
          <w:szCs w:val="24"/>
          <w:lang w:val="en-US"/>
        </w:rPr>
        <w:t xml:space="preserve">; Fraga F. 1973). </w:t>
      </w:r>
    </w:p>
    <w:p w:rsidR="004A3F91" w:rsidRPr="006621F1" w:rsidRDefault="00C84D2C"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The meeting between these two water bodies creates a third water body with its own characteristics, called the thermal front. This front is characterized by temperatures that var</w:t>
      </w:r>
      <w:r w:rsidR="00B4096C" w:rsidRPr="006621F1">
        <w:rPr>
          <w:rFonts w:ascii="Century Gothic" w:eastAsiaTheme="minorHAnsi" w:hAnsi="Century Gothic" w:cstheme="minorBidi"/>
          <w:color w:val="212121"/>
          <w:sz w:val="24"/>
          <w:szCs w:val="24"/>
          <w:lang w:val="en-US" w:eastAsia="en-US"/>
        </w:rPr>
        <w:t>y between 22 and 24°C</w:t>
      </w:r>
      <w:r w:rsidRPr="006621F1">
        <w:rPr>
          <w:rFonts w:ascii="Century Gothic" w:eastAsiaTheme="minorHAnsi" w:hAnsi="Century Gothic" w:cstheme="minorBidi"/>
          <w:color w:val="212121"/>
          <w:sz w:val="24"/>
          <w:szCs w:val="24"/>
          <w:lang w:val="en-US" w:eastAsia="en-US"/>
        </w:rPr>
        <w:t>. It is conducive to the reproduction of different species of fish, and for this reason it plays a vital role on productivity.</w:t>
      </w:r>
      <w:r w:rsidR="004A3F91" w:rsidRPr="006621F1">
        <w:rPr>
          <w:rFonts w:ascii="Century Gothic" w:eastAsiaTheme="minorHAnsi" w:hAnsi="Century Gothic" w:cstheme="minorBidi"/>
          <w:color w:val="212121"/>
          <w:sz w:val="24"/>
          <w:szCs w:val="24"/>
          <w:lang w:val="en-US" w:eastAsia="en-US"/>
        </w:rPr>
        <w:t xml:space="preserve"> </w:t>
      </w:r>
      <w:r w:rsidR="00C369AE" w:rsidRPr="006621F1">
        <w:rPr>
          <w:rFonts w:ascii="Century Gothic" w:eastAsiaTheme="minorHAnsi" w:hAnsi="Century Gothic" w:cstheme="minorBidi"/>
          <w:color w:val="212121"/>
          <w:sz w:val="24"/>
          <w:szCs w:val="24"/>
          <w:lang w:val="en-US" w:eastAsia="en-US"/>
        </w:rPr>
        <w:t>T</w:t>
      </w:r>
      <w:r w:rsidR="00C60ADC" w:rsidRPr="006621F1">
        <w:rPr>
          <w:rFonts w:ascii="Century Gothic" w:eastAsiaTheme="minorHAnsi" w:hAnsi="Century Gothic" w:cstheme="minorBidi"/>
          <w:color w:val="212121"/>
          <w:sz w:val="24"/>
          <w:szCs w:val="24"/>
          <w:lang w:val="en-US" w:eastAsia="en-US"/>
        </w:rPr>
        <w:t xml:space="preserve">he seasonal alternation of these water </w:t>
      </w:r>
      <w:r w:rsidR="00C369AE" w:rsidRPr="006621F1">
        <w:rPr>
          <w:rFonts w:ascii="Century Gothic" w:eastAsiaTheme="minorHAnsi" w:hAnsi="Century Gothic" w:cstheme="minorBidi"/>
          <w:color w:val="212121"/>
          <w:sz w:val="24"/>
          <w:szCs w:val="24"/>
          <w:lang w:val="en-US" w:eastAsia="en-US"/>
        </w:rPr>
        <w:t>bodies</w:t>
      </w:r>
      <w:r w:rsidR="00C60ADC" w:rsidRPr="006621F1">
        <w:rPr>
          <w:rFonts w:ascii="Century Gothic" w:eastAsiaTheme="minorHAnsi" w:hAnsi="Century Gothic" w:cstheme="minorBidi"/>
          <w:color w:val="212121"/>
          <w:sz w:val="24"/>
          <w:szCs w:val="24"/>
          <w:lang w:val="en-US" w:eastAsia="en-US"/>
        </w:rPr>
        <w:t xml:space="preserve"> causes seasonal dynamics of the thermal front from south to north and vice versa. And the displacement of this front </w:t>
      </w:r>
      <w:r w:rsidR="004A3F91" w:rsidRPr="006621F1">
        <w:rPr>
          <w:rFonts w:ascii="Century Gothic" w:eastAsiaTheme="minorHAnsi" w:hAnsi="Century Gothic" w:cstheme="minorBidi"/>
          <w:color w:val="212121"/>
          <w:sz w:val="24"/>
          <w:szCs w:val="24"/>
          <w:lang w:val="en-US" w:eastAsia="en-US"/>
        </w:rPr>
        <w:t>motivates</w:t>
      </w:r>
      <w:r w:rsidR="00C60ADC" w:rsidRPr="006621F1">
        <w:rPr>
          <w:rFonts w:ascii="Century Gothic" w:eastAsiaTheme="minorHAnsi" w:hAnsi="Century Gothic" w:cstheme="minorBidi"/>
          <w:color w:val="212121"/>
          <w:sz w:val="24"/>
          <w:szCs w:val="24"/>
          <w:lang w:val="en-US" w:eastAsia="en-US"/>
        </w:rPr>
        <w:t xml:space="preserve"> a seasonal migration of certain pelagic species. </w:t>
      </w:r>
    </w:p>
    <w:p w:rsidR="00C60ADC" w:rsidRPr="006621F1" w:rsidRDefault="00C60ADC"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The present work aims to follow the movement of the thermal front, during the year 2018, determined the period of entry and exit of this front in the Mauritanian EEZ</w:t>
      </w:r>
      <w:r w:rsidRPr="006621F1">
        <w:rPr>
          <w:rFonts w:ascii="Century Gothic" w:eastAsiaTheme="minorHAnsi" w:hAnsi="Century Gothic" w:cstheme="minorBidi"/>
          <w:color w:val="212121"/>
          <w:sz w:val="24"/>
          <w:szCs w:val="24"/>
          <w:highlight w:val="yellow"/>
          <w:lang w:val="en-US" w:eastAsia="en-US"/>
        </w:rPr>
        <w:t>, as well as its stay</w:t>
      </w:r>
      <w:r w:rsidRPr="006621F1">
        <w:rPr>
          <w:rFonts w:ascii="Century Gothic" w:eastAsiaTheme="minorHAnsi" w:hAnsi="Century Gothic" w:cstheme="minorBidi"/>
          <w:color w:val="212121"/>
          <w:sz w:val="24"/>
          <w:szCs w:val="24"/>
          <w:lang w:val="en-US" w:eastAsia="en-US"/>
        </w:rPr>
        <w:t>.</w:t>
      </w:r>
    </w:p>
    <w:p w:rsidR="00CA7E58" w:rsidRPr="006621F1" w:rsidRDefault="00CA7E58" w:rsidP="006621F1">
      <w:pPr>
        <w:pStyle w:val="PrformatHTML"/>
        <w:shd w:val="clear" w:color="auto" w:fill="FFFFFF"/>
        <w:jc w:val="both"/>
        <w:rPr>
          <w:rFonts w:ascii="Century Gothic" w:hAnsi="Century Gothic"/>
          <w:color w:val="212121"/>
          <w:sz w:val="24"/>
          <w:szCs w:val="24"/>
          <w:lang w:val="en-US"/>
        </w:rPr>
      </w:pPr>
    </w:p>
    <w:p w:rsidR="00C60ADC" w:rsidRPr="006621F1" w:rsidRDefault="00C60ADC" w:rsidP="006621F1">
      <w:pPr>
        <w:pStyle w:val="PrformatHTML"/>
        <w:shd w:val="clear" w:color="auto" w:fill="FFFFFF"/>
        <w:jc w:val="both"/>
        <w:rPr>
          <w:rFonts w:ascii="Century Gothic" w:hAnsi="Century Gothic"/>
          <w:b/>
          <w:color w:val="212121"/>
          <w:sz w:val="24"/>
          <w:szCs w:val="24"/>
        </w:rPr>
      </w:pPr>
      <w:r w:rsidRPr="006621F1">
        <w:rPr>
          <w:rFonts w:ascii="Century Gothic" w:hAnsi="Century Gothic"/>
          <w:b/>
          <w:color w:val="212121"/>
          <w:sz w:val="24"/>
          <w:szCs w:val="24"/>
        </w:rPr>
        <w:t>MATERIALS AND METHODS</w:t>
      </w:r>
    </w:p>
    <w:p w:rsidR="006621F1" w:rsidRPr="006621F1" w:rsidRDefault="006621F1" w:rsidP="006621F1">
      <w:pPr>
        <w:pStyle w:val="PrformatHTML"/>
        <w:shd w:val="clear" w:color="auto" w:fill="FFFFFF"/>
        <w:jc w:val="both"/>
        <w:rPr>
          <w:rFonts w:ascii="Century Gothic" w:hAnsi="Century Gothic"/>
          <w:color w:val="212121"/>
          <w:sz w:val="24"/>
          <w:szCs w:val="24"/>
        </w:rPr>
      </w:pPr>
    </w:p>
    <w:p w:rsidR="00C60ADC" w:rsidRPr="006621F1" w:rsidRDefault="00C60ADC"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The data used for this work are weekly averages of surface temperature (</w:t>
      </w:r>
      <w:proofErr w:type="spellStart"/>
      <w:r w:rsidRPr="006621F1">
        <w:rPr>
          <w:rFonts w:ascii="Century Gothic" w:eastAsiaTheme="minorHAnsi" w:hAnsi="Century Gothic" w:cstheme="minorBidi"/>
          <w:color w:val="212121"/>
          <w:sz w:val="24"/>
          <w:szCs w:val="24"/>
          <w:lang w:val="en-US" w:eastAsia="en-US"/>
        </w:rPr>
        <w:t>sst</w:t>
      </w:r>
      <w:proofErr w:type="spellEnd"/>
      <w:r w:rsidRPr="006621F1">
        <w:rPr>
          <w:rFonts w:ascii="Century Gothic" w:eastAsiaTheme="minorHAnsi" w:hAnsi="Century Gothic" w:cstheme="minorBidi"/>
          <w:color w:val="212121"/>
          <w:sz w:val="24"/>
          <w:szCs w:val="24"/>
          <w:lang w:val="en-US" w:eastAsia="en-US"/>
        </w:rPr>
        <w:t>) during the year 2018.</w:t>
      </w:r>
    </w:p>
    <w:p w:rsidR="00AE6AD1" w:rsidRPr="006621F1" w:rsidRDefault="00C60ADC"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This data is derived fro</w:t>
      </w:r>
      <w:r w:rsidR="006B1E69" w:rsidRPr="006621F1">
        <w:rPr>
          <w:rFonts w:ascii="Century Gothic" w:eastAsiaTheme="minorHAnsi" w:hAnsi="Century Gothic" w:cstheme="minorBidi"/>
          <w:color w:val="212121"/>
          <w:sz w:val="24"/>
          <w:szCs w:val="24"/>
          <w:lang w:val="en-US" w:eastAsia="en-US"/>
        </w:rPr>
        <w:t>m the real-time marine database</w:t>
      </w:r>
      <w:r w:rsidRPr="006621F1">
        <w:rPr>
          <w:rFonts w:ascii="Century Gothic" w:eastAsiaTheme="minorHAnsi" w:hAnsi="Century Gothic" w:cstheme="minorBidi"/>
          <w:color w:val="212121"/>
          <w:sz w:val="24"/>
          <w:szCs w:val="24"/>
          <w:lang w:val="en-US" w:eastAsia="en-US"/>
        </w:rPr>
        <w:t xml:space="preserve"> </w:t>
      </w:r>
      <w:r w:rsidR="006B1E69" w:rsidRPr="006621F1">
        <w:rPr>
          <w:rFonts w:ascii="Century Gothic" w:eastAsiaTheme="minorHAnsi" w:hAnsi="Century Gothic" w:cstheme="minorBidi"/>
          <w:color w:val="212121"/>
          <w:sz w:val="24"/>
          <w:szCs w:val="24"/>
          <w:lang w:val="en-US" w:eastAsia="en-US"/>
        </w:rPr>
        <w:t>of the</w:t>
      </w:r>
      <w:r w:rsidRPr="006621F1">
        <w:rPr>
          <w:rFonts w:ascii="Century Gothic" w:eastAsiaTheme="minorHAnsi" w:hAnsi="Century Gothic" w:cstheme="minorBidi"/>
          <w:color w:val="212121"/>
          <w:sz w:val="24"/>
          <w:szCs w:val="24"/>
          <w:lang w:val="en-US" w:eastAsia="en-US"/>
        </w:rPr>
        <w:t xml:space="preserve"> </w:t>
      </w:r>
      <w:r w:rsidR="006B1E69" w:rsidRPr="006621F1">
        <w:rPr>
          <w:rFonts w:ascii="Century Gothic" w:eastAsiaTheme="minorHAnsi" w:hAnsi="Century Gothic" w:cstheme="minorBidi"/>
          <w:color w:val="212121"/>
          <w:sz w:val="24"/>
          <w:szCs w:val="24"/>
          <w:lang w:val="en-US" w:eastAsia="en-US"/>
        </w:rPr>
        <w:t xml:space="preserve">United States </w:t>
      </w:r>
      <w:r w:rsidRPr="006621F1">
        <w:rPr>
          <w:rFonts w:ascii="Century Gothic" w:eastAsiaTheme="minorHAnsi" w:hAnsi="Century Gothic" w:cstheme="minorBidi"/>
          <w:color w:val="212121"/>
          <w:sz w:val="24"/>
          <w:szCs w:val="24"/>
          <w:lang w:val="en-US" w:eastAsia="en-US"/>
        </w:rPr>
        <w:t xml:space="preserve">National Center for </w:t>
      </w:r>
      <w:r w:rsidR="006B1E69" w:rsidRPr="006621F1">
        <w:rPr>
          <w:rFonts w:ascii="Century Gothic" w:eastAsiaTheme="minorHAnsi" w:hAnsi="Century Gothic" w:cstheme="minorBidi"/>
          <w:color w:val="212121"/>
          <w:sz w:val="24"/>
          <w:szCs w:val="24"/>
          <w:lang w:val="en-US" w:eastAsia="en-US"/>
        </w:rPr>
        <w:t>Environmental Prediction (NCEP)</w:t>
      </w:r>
      <w:r w:rsidRPr="006621F1">
        <w:rPr>
          <w:rFonts w:ascii="Century Gothic" w:eastAsiaTheme="minorHAnsi" w:hAnsi="Century Gothic" w:cstheme="minorBidi"/>
          <w:color w:val="212121"/>
          <w:sz w:val="24"/>
          <w:szCs w:val="24"/>
          <w:lang w:val="en-US" w:eastAsia="en-US"/>
        </w:rPr>
        <w:t xml:space="preserve">. This base contains monthly averages of different hydrometeorological parameter in present time. </w:t>
      </w:r>
    </w:p>
    <w:p w:rsidR="00AE6AD1" w:rsidRPr="006621F1" w:rsidRDefault="00AE6AD1"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The information is gathered at NOAA from various sources, and NOAA aggregates it under monthly averages at one-square-degree resolution.</w:t>
      </w:r>
    </w:p>
    <w:p w:rsidR="00C60ADC" w:rsidRPr="006621F1" w:rsidRDefault="00C60ADC"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highlight w:val="yellow"/>
          <w:lang w:val="en-US" w:eastAsia="en-US"/>
        </w:rPr>
        <w:t>The information meets at NOAA from various sources and groups it under monthly averages at a resolution of one square of one degree.</w:t>
      </w:r>
    </w:p>
    <w:p w:rsidR="00C60ADC" w:rsidRPr="006621F1" w:rsidRDefault="00C60ADC"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Water tem</w:t>
      </w:r>
      <w:r w:rsidR="00AB21CD" w:rsidRPr="006621F1">
        <w:rPr>
          <w:rFonts w:ascii="Century Gothic" w:eastAsiaTheme="minorHAnsi" w:hAnsi="Century Gothic" w:cstheme="minorBidi"/>
          <w:color w:val="212121"/>
          <w:sz w:val="24"/>
          <w:szCs w:val="24"/>
          <w:lang w:val="en-US" w:eastAsia="en-US"/>
        </w:rPr>
        <w:t>peratures varying between (22°</w:t>
      </w:r>
      <w:r w:rsidRPr="006621F1">
        <w:rPr>
          <w:rFonts w:ascii="Century Gothic" w:eastAsiaTheme="minorHAnsi" w:hAnsi="Century Gothic" w:cstheme="minorBidi"/>
          <w:color w:val="212121"/>
          <w:sz w:val="24"/>
          <w:szCs w:val="24"/>
          <w:lang w:val="en-US" w:eastAsia="en-US"/>
        </w:rPr>
        <w:t>C) and (24 ° C) are taken as indicators of the presence of thermal front waters.</w:t>
      </w:r>
    </w:p>
    <w:p w:rsidR="005A0C0D" w:rsidRPr="006621F1" w:rsidRDefault="005A0C0D"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Water temperatures ranging between 22 ° C and 24 ° C are taken as indicators of the presence of thermal front waters.</w:t>
      </w:r>
    </w:p>
    <w:p w:rsidR="005A0C0D" w:rsidRPr="006621F1" w:rsidRDefault="005A0C0D"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lastRenderedPageBreak/>
        <w:t>The data processing was carried out using the FoxPro9 software and the mapping using the software Surfer12.</w:t>
      </w:r>
    </w:p>
    <w:p w:rsidR="005A0C0D" w:rsidRPr="006621F1" w:rsidRDefault="005A0C0D" w:rsidP="006621F1">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 xml:space="preserve">The study area (Figure 1) covers the NWA coast from Cape Verde to Cape </w:t>
      </w:r>
      <w:proofErr w:type="spellStart"/>
      <w:r w:rsidRPr="006621F1">
        <w:rPr>
          <w:rFonts w:ascii="Century Gothic" w:eastAsiaTheme="minorHAnsi" w:hAnsi="Century Gothic" w:cstheme="minorBidi"/>
          <w:color w:val="212121"/>
          <w:sz w:val="24"/>
          <w:szCs w:val="24"/>
          <w:lang w:val="en-US" w:eastAsia="en-US"/>
        </w:rPr>
        <w:t>Boujdour</w:t>
      </w:r>
      <w:proofErr w:type="spellEnd"/>
      <w:r w:rsidRPr="006621F1">
        <w:rPr>
          <w:rFonts w:ascii="Century Gothic" w:eastAsiaTheme="minorHAnsi" w:hAnsi="Century Gothic" w:cstheme="minorBidi"/>
          <w:color w:val="212121"/>
          <w:sz w:val="24"/>
          <w:szCs w:val="24"/>
          <w:lang w:val="en-US" w:eastAsia="en-US"/>
        </w:rPr>
        <w:t xml:space="preserve"> (15 ° N _ 27 ° N).</w:t>
      </w:r>
    </w:p>
    <w:p w:rsidR="00C60ADC" w:rsidRPr="005A0C0D" w:rsidRDefault="00C60ADC" w:rsidP="005A0C0D">
      <w:pPr>
        <w:pStyle w:val="PrformatHTML"/>
        <w:shd w:val="clear" w:color="auto" w:fill="FFFFFF"/>
        <w:jc w:val="both"/>
        <w:rPr>
          <w:rFonts w:ascii="inherit" w:eastAsiaTheme="minorHAnsi" w:hAnsi="inherit" w:cstheme="minorBidi"/>
          <w:color w:val="212121"/>
          <w:sz w:val="24"/>
          <w:szCs w:val="24"/>
          <w:lang w:val="en-US" w:eastAsia="en-US"/>
        </w:rPr>
      </w:pPr>
    </w:p>
    <w:p w:rsidR="005A0C0D" w:rsidRPr="005A0C0D" w:rsidRDefault="005A0C0D" w:rsidP="005A0C0D">
      <w:pPr>
        <w:spacing w:after="0"/>
        <w:jc w:val="both"/>
        <w:rPr>
          <w:rFonts w:ascii="inherit" w:hAnsi="inherit"/>
          <w:color w:val="212121"/>
          <w:sz w:val="24"/>
          <w:szCs w:val="24"/>
          <w:lang w:val="en-US"/>
        </w:rPr>
      </w:pPr>
    </w:p>
    <w:p w:rsidR="005A0C0D" w:rsidRDefault="005A0C0D" w:rsidP="005A0C0D">
      <w:pPr>
        <w:spacing w:after="0"/>
        <w:jc w:val="both"/>
        <w:rPr>
          <w:rFonts w:ascii="Century Gothic" w:hAnsi="Century Gothic"/>
          <w:spacing w:val="4"/>
          <w:sz w:val="24"/>
          <w:szCs w:val="24"/>
        </w:rPr>
      </w:pPr>
    </w:p>
    <w:p w:rsidR="005A0C0D" w:rsidRDefault="005A0C0D" w:rsidP="005A0C0D">
      <w:pPr>
        <w:spacing w:after="0"/>
        <w:jc w:val="center"/>
        <w:rPr>
          <w:rFonts w:ascii="Century Gothic" w:hAnsi="Century Gothic"/>
          <w:spacing w:val="4"/>
          <w:sz w:val="24"/>
          <w:szCs w:val="24"/>
        </w:rPr>
      </w:pPr>
      <w:r>
        <w:rPr>
          <w:noProof/>
          <w:lang w:eastAsia="fr-FR"/>
        </w:rPr>
        <w:drawing>
          <wp:inline distT="0" distB="0" distL="0" distR="0">
            <wp:extent cx="2038350" cy="281874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e _ etu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9712" cy="2834458"/>
                    </a:xfrm>
                    <a:prstGeom prst="rect">
                      <a:avLst/>
                    </a:prstGeom>
                  </pic:spPr>
                </pic:pic>
              </a:graphicData>
            </a:graphic>
          </wp:inline>
        </w:drawing>
      </w:r>
    </w:p>
    <w:p w:rsidR="005A0C0D" w:rsidRDefault="005A0C0D" w:rsidP="005A0C0D">
      <w:pPr>
        <w:spacing w:after="0"/>
        <w:jc w:val="center"/>
        <w:rPr>
          <w:rFonts w:ascii="Century Gothic" w:hAnsi="Century Gothic"/>
          <w:spacing w:val="4"/>
          <w:sz w:val="24"/>
          <w:szCs w:val="24"/>
        </w:rPr>
      </w:pPr>
      <w:r w:rsidRPr="00466A35">
        <w:rPr>
          <w:rFonts w:ascii="inherit" w:hAnsi="inherit"/>
          <w:color w:val="212121"/>
          <w:sz w:val="24"/>
          <w:szCs w:val="24"/>
          <w:lang w:val="en-US"/>
        </w:rPr>
        <w:t xml:space="preserve">Figure1 : </w:t>
      </w:r>
      <w:r w:rsidRPr="005A0C0D">
        <w:rPr>
          <w:rFonts w:ascii="inherit" w:hAnsi="inherit"/>
          <w:color w:val="212121"/>
          <w:sz w:val="24"/>
          <w:szCs w:val="24"/>
          <w:lang w:val="en-US"/>
        </w:rPr>
        <w:t>study area</w:t>
      </w:r>
    </w:p>
    <w:p w:rsidR="005A0C0D" w:rsidRDefault="005A0C0D" w:rsidP="005A0C0D">
      <w:pPr>
        <w:spacing w:after="0"/>
        <w:rPr>
          <w:rFonts w:ascii="Century Gothic" w:hAnsi="Century Gothic"/>
          <w:spacing w:val="4"/>
          <w:sz w:val="24"/>
          <w:szCs w:val="24"/>
        </w:rPr>
      </w:pPr>
    </w:p>
    <w:p w:rsidR="005A0C0D" w:rsidRDefault="005A0C0D" w:rsidP="005A0C0D">
      <w:pPr>
        <w:spacing w:after="0"/>
        <w:rPr>
          <w:rFonts w:ascii="Century Gothic" w:hAnsi="Century Gothic" w:cs="Arial"/>
          <w:b/>
          <w:bCs/>
          <w:smallCaps/>
          <w:spacing w:val="4"/>
          <w:sz w:val="24"/>
          <w:szCs w:val="24"/>
        </w:rPr>
      </w:pPr>
    </w:p>
    <w:p w:rsidR="005A0C0D" w:rsidRDefault="005A0C0D" w:rsidP="00B4096C">
      <w:pPr>
        <w:pStyle w:val="PrformatHTML"/>
        <w:shd w:val="clear" w:color="auto" w:fill="FFFFFF"/>
        <w:jc w:val="both"/>
        <w:rPr>
          <w:rFonts w:ascii="inherit" w:hAnsi="inherit"/>
          <w:color w:val="212121"/>
          <w:sz w:val="24"/>
          <w:szCs w:val="24"/>
          <w:lang w:val="en-US"/>
        </w:rPr>
      </w:pPr>
    </w:p>
    <w:p w:rsidR="006621F1" w:rsidRPr="006621F1" w:rsidRDefault="00C60ADC" w:rsidP="006621F1">
      <w:pPr>
        <w:pStyle w:val="PrformatHTML"/>
        <w:shd w:val="clear" w:color="auto" w:fill="FFFFFF"/>
        <w:rPr>
          <w:rFonts w:ascii="Century Gothic" w:hAnsi="Century Gothic"/>
          <w:b/>
          <w:color w:val="212121"/>
          <w:sz w:val="24"/>
          <w:szCs w:val="24"/>
          <w:lang w:val="en-US"/>
        </w:rPr>
      </w:pPr>
      <w:r w:rsidRPr="006621F1">
        <w:rPr>
          <w:rFonts w:ascii="Century Gothic" w:hAnsi="Century Gothic"/>
          <w:b/>
          <w:color w:val="212121"/>
          <w:sz w:val="24"/>
          <w:szCs w:val="24"/>
          <w:lang w:val="en-US"/>
        </w:rPr>
        <w:t>RESULTS AND DISCUSSIONS</w:t>
      </w:r>
    </w:p>
    <w:p w:rsidR="006621F1" w:rsidRPr="006621F1" w:rsidRDefault="006621F1" w:rsidP="006621F1">
      <w:pPr>
        <w:pStyle w:val="PrformatHTML"/>
        <w:shd w:val="clear" w:color="auto" w:fill="FFFFFF"/>
        <w:rPr>
          <w:rFonts w:ascii="Century Gothic" w:hAnsi="Century Gothic"/>
          <w:color w:val="212121"/>
          <w:sz w:val="24"/>
          <w:szCs w:val="24"/>
          <w:lang w:val="en-US"/>
        </w:rPr>
      </w:pPr>
    </w:p>
    <w:p w:rsidR="00466A35" w:rsidRPr="006621F1" w:rsidRDefault="00466A35" w:rsidP="006621F1">
      <w:pPr>
        <w:pStyle w:val="PrformatHTML"/>
        <w:shd w:val="clear" w:color="auto" w:fill="FFFFFF"/>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Usually the waters of the thermal front begin to penetrate the Mauritanian areas at the end of the last week of May, and retreat towards the end of the last week of December, with an average stay of 178 days.</w:t>
      </w:r>
    </w:p>
    <w:p w:rsidR="00466A35" w:rsidRPr="006621F1" w:rsidRDefault="00466A35" w:rsidP="00466A35">
      <w:pPr>
        <w:pStyle w:val="PrformatHTML"/>
        <w:shd w:val="clear" w:color="auto" w:fill="FFFFFF"/>
        <w:jc w:val="both"/>
        <w:rPr>
          <w:rFonts w:ascii="Century Gothic" w:eastAsiaTheme="minorHAnsi" w:hAnsi="Century Gothic" w:cstheme="minorBidi"/>
          <w:color w:val="212121"/>
          <w:sz w:val="24"/>
          <w:szCs w:val="24"/>
          <w:lang w:val="en-US" w:eastAsia="en-US"/>
        </w:rPr>
      </w:pPr>
      <w:r w:rsidRPr="006621F1">
        <w:rPr>
          <w:rFonts w:ascii="Century Gothic" w:eastAsiaTheme="minorHAnsi" w:hAnsi="Century Gothic" w:cstheme="minorBidi"/>
          <w:color w:val="212121"/>
          <w:sz w:val="24"/>
          <w:szCs w:val="24"/>
          <w:lang w:val="en-US" w:eastAsia="en-US"/>
        </w:rPr>
        <w:t>The movement of the thermal front during the year 2018 was characterized by late entry (Figure 2), around the third week of June. The thermal front followed its displacement in the Mauritanian EEZ where it stayed for one month and three weeks, reaching the northern limits of the country (Figure 3) around the second week of August.</w:t>
      </w:r>
    </w:p>
    <w:p w:rsidR="00C60ADC" w:rsidRPr="006621F1" w:rsidRDefault="00C60ADC" w:rsidP="00B4096C">
      <w:pPr>
        <w:pStyle w:val="PrformatHTML"/>
        <w:shd w:val="clear" w:color="auto" w:fill="FFFFFF"/>
        <w:jc w:val="both"/>
        <w:rPr>
          <w:rFonts w:ascii="Century Gothic" w:eastAsiaTheme="minorHAnsi" w:hAnsi="Century Gothic" w:cstheme="minorBidi"/>
          <w:color w:val="212121"/>
          <w:sz w:val="24"/>
          <w:szCs w:val="24"/>
          <w:lang w:val="en-US" w:eastAsia="en-US"/>
        </w:rPr>
      </w:pPr>
    </w:p>
    <w:p w:rsidR="00466A35" w:rsidRPr="006621F1" w:rsidRDefault="00466A35" w:rsidP="00466A35">
      <w:pPr>
        <w:spacing w:after="0"/>
        <w:rPr>
          <w:rFonts w:ascii="Century Gothic" w:hAnsi="Century Gothic"/>
          <w:spacing w:val="4"/>
          <w:sz w:val="24"/>
          <w:szCs w:val="24"/>
        </w:rPr>
      </w:pPr>
    </w:p>
    <w:p w:rsidR="00466A35" w:rsidRPr="006621F1" w:rsidRDefault="00466A35" w:rsidP="00466A35">
      <w:pPr>
        <w:spacing w:after="0"/>
        <w:jc w:val="center"/>
        <w:rPr>
          <w:rFonts w:ascii="Century Gothic" w:hAnsi="Century Gothic"/>
          <w:spacing w:val="4"/>
          <w:sz w:val="24"/>
          <w:szCs w:val="24"/>
          <w:lang w:val="en-US"/>
        </w:rPr>
      </w:pPr>
      <w:r w:rsidRPr="006621F1">
        <w:rPr>
          <w:rFonts w:ascii="Century Gothic" w:hAnsi="Century Gothic"/>
          <w:noProof/>
          <w:spacing w:val="4"/>
          <w:sz w:val="24"/>
          <w:szCs w:val="24"/>
          <w:lang w:eastAsia="fr-FR"/>
        </w:rPr>
        <w:lastRenderedPageBreak/>
        <w:drawing>
          <wp:inline distT="0" distB="0" distL="0" distR="0">
            <wp:extent cx="1809750" cy="24999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_w3_2018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384" cy="2516034"/>
                    </a:xfrm>
                    <a:prstGeom prst="rect">
                      <a:avLst/>
                    </a:prstGeom>
                  </pic:spPr>
                </pic:pic>
              </a:graphicData>
            </a:graphic>
          </wp:inline>
        </w:drawing>
      </w:r>
      <w:r w:rsidRPr="006621F1">
        <w:rPr>
          <w:rFonts w:ascii="Century Gothic" w:hAnsi="Century Gothic"/>
          <w:spacing w:val="4"/>
          <w:sz w:val="24"/>
          <w:szCs w:val="24"/>
          <w:lang w:val="en-US"/>
        </w:rPr>
        <w:t xml:space="preserve">        </w:t>
      </w:r>
      <w:r w:rsidR="00810433" w:rsidRPr="006621F1">
        <w:rPr>
          <w:rFonts w:ascii="Century Gothic" w:hAnsi="Century Gothic"/>
          <w:spacing w:val="4"/>
          <w:sz w:val="24"/>
          <w:szCs w:val="24"/>
          <w:lang w:val="en-US"/>
        </w:rPr>
        <w:t xml:space="preserve">  </w:t>
      </w:r>
      <w:r w:rsidRPr="006621F1">
        <w:rPr>
          <w:rFonts w:ascii="Century Gothic" w:hAnsi="Century Gothic"/>
          <w:spacing w:val="4"/>
          <w:sz w:val="24"/>
          <w:szCs w:val="24"/>
          <w:lang w:val="en-US"/>
        </w:rPr>
        <w:t xml:space="preserve">     </w:t>
      </w:r>
      <w:r w:rsidRPr="006621F1">
        <w:rPr>
          <w:rFonts w:ascii="Century Gothic" w:hAnsi="Century Gothic"/>
          <w:noProof/>
          <w:spacing w:val="4"/>
          <w:sz w:val="24"/>
          <w:szCs w:val="24"/>
          <w:lang w:eastAsia="fr-FR"/>
        </w:rPr>
        <w:drawing>
          <wp:inline distT="0" distB="0" distL="0" distR="0">
            <wp:extent cx="1800225" cy="24868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g_w2_2018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551" cy="2532842"/>
                    </a:xfrm>
                    <a:prstGeom prst="rect">
                      <a:avLst/>
                    </a:prstGeom>
                  </pic:spPr>
                </pic:pic>
              </a:graphicData>
            </a:graphic>
          </wp:inline>
        </w:drawing>
      </w:r>
    </w:p>
    <w:p w:rsidR="00466A35" w:rsidRPr="006621F1" w:rsidRDefault="00466A35" w:rsidP="006621F1">
      <w:pPr>
        <w:spacing w:after="0"/>
        <w:jc w:val="both"/>
        <w:rPr>
          <w:rFonts w:ascii="Century Gothic" w:hAnsi="Century Gothic"/>
          <w:b/>
          <w:spacing w:val="4"/>
          <w:sz w:val="24"/>
          <w:szCs w:val="24"/>
          <w:lang w:val="en-US"/>
        </w:rPr>
      </w:pPr>
      <w:r w:rsidRPr="006621F1">
        <w:rPr>
          <w:rFonts w:ascii="Century Gothic" w:hAnsi="Century Gothic"/>
          <w:b/>
          <w:spacing w:val="4"/>
          <w:sz w:val="24"/>
          <w:szCs w:val="24"/>
          <w:lang w:val="en-US"/>
        </w:rPr>
        <w:t xml:space="preserve">Figure2: Southern thermal front entry  </w:t>
      </w:r>
      <w:r w:rsidR="00810433" w:rsidRPr="006621F1">
        <w:rPr>
          <w:rFonts w:ascii="Century Gothic" w:hAnsi="Century Gothic"/>
          <w:b/>
          <w:spacing w:val="4"/>
          <w:sz w:val="24"/>
          <w:szCs w:val="24"/>
          <w:lang w:val="en-US"/>
        </w:rPr>
        <w:t xml:space="preserve">     </w:t>
      </w:r>
      <w:r w:rsidRPr="006621F1">
        <w:rPr>
          <w:rFonts w:ascii="Century Gothic" w:hAnsi="Century Gothic"/>
          <w:b/>
          <w:spacing w:val="4"/>
          <w:sz w:val="24"/>
          <w:szCs w:val="24"/>
          <w:lang w:val="en-US"/>
        </w:rPr>
        <w:t xml:space="preserve"> Figure3: Thermal front north of EEZ </w:t>
      </w:r>
    </w:p>
    <w:p w:rsidR="00466A35" w:rsidRPr="006621F1" w:rsidRDefault="00466A35" w:rsidP="00466A35">
      <w:pPr>
        <w:spacing w:after="0"/>
        <w:rPr>
          <w:rFonts w:ascii="Century Gothic" w:hAnsi="Century Gothic"/>
          <w:spacing w:val="4"/>
          <w:sz w:val="24"/>
          <w:szCs w:val="24"/>
          <w:lang w:val="en-US"/>
        </w:rPr>
      </w:pPr>
    </w:p>
    <w:p w:rsidR="00466A35" w:rsidRPr="006621F1" w:rsidRDefault="00466A35" w:rsidP="00466A35">
      <w:pPr>
        <w:spacing w:after="0"/>
        <w:jc w:val="both"/>
        <w:rPr>
          <w:rFonts w:ascii="Century Gothic" w:hAnsi="Century Gothic"/>
          <w:spacing w:val="4"/>
          <w:sz w:val="24"/>
          <w:szCs w:val="24"/>
        </w:rPr>
      </w:pPr>
      <w:r w:rsidRPr="006621F1">
        <w:rPr>
          <w:rFonts w:ascii="Century Gothic" w:hAnsi="Century Gothic"/>
          <w:spacing w:val="4"/>
          <w:sz w:val="24"/>
          <w:szCs w:val="24"/>
        </w:rPr>
        <w:t>Le front thermique à quitter les eaux mauritaniennes vers la zone sud du Sahara Occidentale (figure4), à la troisième semaine du mois d’août.</w:t>
      </w:r>
    </w:p>
    <w:p w:rsidR="00466A35" w:rsidRPr="006621F1" w:rsidRDefault="00466A35" w:rsidP="00466A35">
      <w:pPr>
        <w:spacing w:after="0"/>
        <w:rPr>
          <w:rFonts w:ascii="Century Gothic" w:hAnsi="Century Gothic"/>
          <w:spacing w:val="4"/>
          <w:sz w:val="24"/>
          <w:szCs w:val="24"/>
        </w:rPr>
      </w:pPr>
    </w:p>
    <w:p w:rsidR="00466A35" w:rsidRPr="006621F1" w:rsidRDefault="00466A35" w:rsidP="006621F1">
      <w:pPr>
        <w:spacing w:after="0"/>
        <w:jc w:val="right"/>
        <w:rPr>
          <w:rFonts w:ascii="Century Gothic" w:hAnsi="Century Gothic"/>
          <w:spacing w:val="4"/>
          <w:sz w:val="24"/>
          <w:szCs w:val="24"/>
        </w:rPr>
      </w:pPr>
      <w:r w:rsidRPr="006621F1">
        <w:rPr>
          <w:rFonts w:ascii="Century Gothic" w:hAnsi="Century Gothic"/>
          <w:noProof/>
          <w:spacing w:val="4"/>
          <w:sz w:val="24"/>
          <w:szCs w:val="24"/>
          <w:lang w:eastAsia="fr-FR"/>
        </w:rPr>
        <w:drawing>
          <wp:inline distT="0" distB="0" distL="0" distR="0">
            <wp:extent cx="1904903" cy="263140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g_w3_2018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9300" cy="2651295"/>
                    </a:xfrm>
                    <a:prstGeom prst="rect">
                      <a:avLst/>
                    </a:prstGeom>
                  </pic:spPr>
                </pic:pic>
              </a:graphicData>
            </a:graphic>
          </wp:inline>
        </w:drawing>
      </w:r>
      <w:r w:rsidR="006621F1">
        <w:rPr>
          <w:rFonts w:ascii="Century Gothic" w:hAnsi="Century Gothic"/>
          <w:spacing w:val="4"/>
          <w:sz w:val="24"/>
          <w:szCs w:val="24"/>
        </w:rPr>
        <w:t xml:space="preserve">                               </w:t>
      </w:r>
      <w:r w:rsidRPr="006621F1">
        <w:rPr>
          <w:rFonts w:ascii="Century Gothic" w:hAnsi="Century Gothic"/>
          <w:noProof/>
          <w:spacing w:val="4"/>
          <w:sz w:val="24"/>
          <w:szCs w:val="24"/>
          <w:lang w:eastAsia="fr-FR"/>
        </w:rPr>
        <w:drawing>
          <wp:inline distT="0" distB="0" distL="0" distR="0">
            <wp:extent cx="1876425" cy="25920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t_w4_2018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2592070"/>
                    </a:xfrm>
                    <a:prstGeom prst="rect">
                      <a:avLst/>
                    </a:prstGeom>
                  </pic:spPr>
                </pic:pic>
              </a:graphicData>
            </a:graphic>
          </wp:inline>
        </w:drawing>
      </w:r>
      <w:r w:rsidRPr="006621F1">
        <w:rPr>
          <w:rFonts w:ascii="Century Gothic" w:hAnsi="Century Gothic"/>
          <w:b/>
          <w:spacing w:val="4"/>
          <w:sz w:val="24"/>
          <w:szCs w:val="24"/>
          <w:lang w:val="en-US"/>
        </w:rPr>
        <w:t xml:space="preserve"> </w:t>
      </w:r>
      <w:r w:rsidRPr="006621F1">
        <w:rPr>
          <w:rFonts w:ascii="Century Gothic" w:hAnsi="Century Gothic"/>
          <w:spacing w:val="4"/>
          <w:sz w:val="20"/>
          <w:szCs w:val="20"/>
          <w:lang w:val="en-US"/>
        </w:rPr>
        <w:t xml:space="preserve">Figure4: Exit of the thermal front to the north   Figure5: Return thermal </w:t>
      </w:r>
      <w:r w:rsidR="006621F1" w:rsidRPr="006621F1">
        <w:rPr>
          <w:rFonts w:ascii="Century Gothic" w:hAnsi="Century Gothic"/>
          <w:spacing w:val="4"/>
          <w:sz w:val="20"/>
          <w:szCs w:val="20"/>
          <w:lang w:val="en-US"/>
        </w:rPr>
        <w:t xml:space="preserve">   </w:t>
      </w:r>
      <w:r w:rsidRPr="006621F1">
        <w:rPr>
          <w:rFonts w:ascii="Century Gothic" w:hAnsi="Century Gothic"/>
          <w:spacing w:val="4"/>
          <w:sz w:val="20"/>
          <w:szCs w:val="20"/>
          <w:lang w:val="en-US"/>
        </w:rPr>
        <w:t>front to the north of EEZ</w:t>
      </w:r>
    </w:p>
    <w:p w:rsidR="00466A35" w:rsidRPr="006621F1" w:rsidRDefault="00466A35" w:rsidP="00466A35">
      <w:pPr>
        <w:spacing w:after="0"/>
        <w:rPr>
          <w:rFonts w:ascii="Century Gothic" w:hAnsi="Century Gothic"/>
          <w:spacing w:val="4"/>
          <w:sz w:val="24"/>
          <w:szCs w:val="24"/>
          <w:lang w:val="en-US"/>
        </w:rPr>
      </w:pPr>
    </w:p>
    <w:p w:rsidR="00FE159B" w:rsidRPr="006621F1" w:rsidRDefault="00FE159B" w:rsidP="00337B87">
      <w:pPr>
        <w:pStyle w:val="PrformatHTML"/>
        <w:shd w:val="clear" w:color="auto" w:fill="FFFFFF"/>
        <w:jc w:val="both"/>
        <w:rPr>
          <w:rFonts w:ascii="Century Gothic" w:hAnsi="Century Gothic"/>
          <w:color w:val="212121"/>
          <w:sz w:val="24"/>
          <w:szCs w:val="24"/>
        </w:rPr>
      </w:pPr>
      <w:r w:rsidRPr="006621F1">
        <w:rPr>
          <w:rFonts w:ascii="Century Gothic" w:hAnsi="Century Gothic"/>
          <w:color w:val="212121"/>
          <w:sz w:val="24"/>
          <w:szCs w:val="24"/>
        </w:rPr>
        <w:t>During this time the waters of the Mauritanian coasts are dominated by warm waters called Guinean waters.</w:t>
      </w:r>
    </w:p>
    <w:p w:rsidR="00FE159B" w:rsidRPr="006621F1" w:rsidRDefault="00FE159B" w:rsidP="00337B87">
      <w:pPr>
        <w:pStyle w:val="PrformatHTML"/>
        <w:shd w:val="clear" w:color="auto" w:fill="FFFFFF"/>
        <w:jc w:val="both"/>
        <w:rPr>
          <w:rFonts w:ascii="Century Gothic" w:hAnsi="Century Gothic"/>
          <w:color w:val="212121"/>
          <w:sz w:val="24"/>
          <w:szCs w:val="24"/>
        </w:rPr>
      </w:pPr>
      <w:r w:rsidRPr="006621F1">
        <w:rPr>
          <w:rFonts w:ascii="Century Gothic" w:hAnsi="Century Gothic"/>
          <w:color w:val="212121"/>
          <w:sz w:val="24"/>
          <w:szCs w:val="24"/>
        </w:rPr>
        <w:t>The return of the thermal front to the northern coast of Mauritania was observed around the fourth week of October. The thermal front stayed in the Saharan coast for about two months and a week.</w:t>
      </w:r>
    </w:p>
    <w:p w:rsidR="00FE159B" w:rsidRPr="006621F1" w:rsidRDefault="00FE159B" w:rsidP="00337B87">
      <w:pPr>
        <w:pStyle w:val="PrformatHTML"/>
        <w:shd w:val="clear" w:color="auto" w:fill="FFFFFF"/>
        <w:jc w:val="both"/>
        <w:rPr>
          <w:rFonts w:ascii="Century Gothic" w:hAnsi="Century Gothic"/>
          <w:color w:val="212121"/>
          <w:sz w:val="24"/>
          <w:szCs w:val="24"/>
          <w:lang w:val="en-US"/>
        </w:rPr>
      </w:pPr>
      <w:r w:rsidRPr="006621F1">
        <w:rPr>
          <w:rFonts w:ascii="Century Gothic" w:hAnsi="Century Gothic"/>
          <w:color w:val="212121"/>
          <w:sz w:val="24"/>
          <w:szCs w:val="24"/>
        </w:rPr>
        <w:t>To reach the southern limits of the Mauritanian zone the front lasted two months three weeks. Around January 2019, it totally left Mauritanian waters to Senegal.</w:t>
      </w:r>
    </w:p>
    <w:p w:rsidR="00FE159B" w:rsidRPr="006621F1" w:rsidRDefault="00CA7E58" w:rsidP="00FE1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212121"/>
          <w:sz w:val="24"/>
          <w:szCs w:val="24"/>
          <w:lang w:val="en-US" w:eastAsia="fr-FR"/>
        </w:rPr>
      </w:pPr>
      <w:r w:rsidRPr="006621F1">
        <w:rPr>
          <w:rFonts w:ascii="Century Gothic" w:eastAsia="Times New Roman" w:hAnsi="Century Gothic" w:cs="Courier New"/>
          <w:color w:val="212121"/>
          <w:sz w:val="24"/>
          <w:szCs w:val="24"/>
          <w:lang w:val="en-US" w:eastAsia="fr-FR"/>
        </w:rPr>
        <w:lastRenderedPageBreak/>
        <w:t xml:space="preserve"> </w:t>
      </w:r>
      <w:r w:rsidR="00FE159B" w:rsidRPr="006621F1">
        <w:rPr>
          <w:rFonts w:ascii="Century Gothic" w:hAnsi="Century Gothic"/>
          <w:spacing w:val="4"/>
          <w:sz w:val="24"/>
          <w:szCs w:val="24"/>
          <w:lang w:val="en-US"/>
        </w:rPr>
        <w:t xml:space="preserve">  </w:t>
      </w:r>
    </w:p>
    <w:p w:rsidR="00FE159B" w:rsidRPr="006621F1" w:rsidRDefault="00FE159B" w:rsidP="00FE159B">
      <w:pPr>
        <w:spacing w:after="0"/>
        <w:jc w:val="center"/>
        <w:rPr>
          <w:rFonts w:ascii="Century Gothic" w:hAnsi="Century Gothic"/>
          <w:spacing w:val="4"/>
          <w:sz w:val="24"/>
          <w:szCs w:val="24"/>
        </w:rPr>
      </w:pPr>
      <w:r w:rsidRPr="006621F1">
        <w:rPr>
          <w:rFonts w:ascii="Century Gothic" w:hAnsi="Century Gothic"/>
          <w:noProof/>
          <w:spacing w:val="4"/>
          <w:sz w:val="24"/>
          <w:szCs w:val="24"/>
          <w:lang w:eastAsia="fr-FR"/>
        </w:rPr>
        <w:drawing>
          <wp:inline distT="0" distB="0" distL="0" distR="0">
            <wp:extent cx="3185605" cy="44005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n_w3_2019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267" cy="4431855"/>
                    </a:xfrm>
                    <a:prstGeom prst="rect">
                      <a:avLst/>
                    </a:prstGeom>
                  </pic:spPr>
                </pic:pic>
              </a:graphicData>
            </a:graphic>
          </wp:inline>
        </w:drawing>
      </w:r>
    </w:p>
    <w:p w:rsidR="00FE159B" w:rsidRPr="006621F1" w:rsidRDefault="00FE159B" w:rsidP="00FE159B">
      <w:pPr>
        <w:spacing w:after="0"/>
        <w:jc w:val="center"/>
        <w:rPr>
          <w:rFonts w:ascii="Century Gothic" w:hAnsi="Century Gothic"/>
          <w:spacing w:val="4"/>
          <w:sz w:val="24"/>
          <w:szCs w:val="24"/>
          <w:lang w:val="en-US"/>
        </w:rPr>
      </w:pPr>
      <w:r w:rsidRPr="006621F1">
        <w:rPr>
          <w:rFonts w:ascii="Century Gothic" w:hAnsi="Century Gothic"/>
          <w:b/>
          <w:spacing w:val="4"/>
          <w:sz w:val="24"/>
          <w:szCs w:val="24"/>
          <w:lang w:val="en-US"/>
        </w:rPr>
        <w:t>Figure6: Removal of the thermal front south of the EEZ</w:t>
      </w:r>
    </w:p>
    <w:p w:rsidR="00FE159B" w:rsidRPr="006621F1" w:rsidRDefault="00FE159B" w:rsidP="00FE159B">
      <w:pPr>
        <w:spacing w:after="0"/>
        <w:jc w:val="both"/>
        <w:rPr>
          <w:rFonts w:ascii="Century Gothic" w:hAnsi="Century Gothic"/>
          <w:spacing w:val="4"/>
          <w:sz w:val="24"/>
          <w:szCs w:val="24"/>
          <w:lang w:val="en-US"/>
        </w:rPr>
      </w:pPr>
    </w:p>
    <w:p w:rsidR="00FE159B" w:rsidRPr="006621F1" w:rsidRDefault="00FE159B" w:rsidP="00FE159B">
      <w:pPr>
        <w:spacing w:after="0"/>
        <w:jc w:val="both"/>
        <w:rPr>
          <w:rFonts w:ascii="Century Gothic" w:hAnsi="Century Gothic"/>
          <w:spacing w:val="4"/>
          <w:sz w:val="24"/>
          <w:szCs w:val="24"/>
          <w:lang w:val="en-US"/>
        </w:rPr>
      </w:pPr>
    </w:p>
    <w:p w:rsidR="00FE159B" w:rsidRPr="006621F1" w:rsidRDefault="00FE159B" w:rsidP="00337B87">
      <w:pPr>
        <w:pStyle w:val="PrformatHTML"/>
        <w:shd w:val="clear" w:color="auto" w:fill="FFFFFF"/>
        <w:jc w:val="both"/>
        <w:rPr>
          <w:rFonts w:ascii="Century Gothic" w:hAnsi="Century Gothic"/>
          <w:color w:val="212121"/>
          <w:sz w:val="24"/>
          <w:szCs w:val="24"/>
        </w:rPr>
      </w:pPr>
      <w:r w:rsidRPr="006621F1">
        <w:rPr>
          <w:rFonts w:ascii="Century Gothic" w:hAnsi="Century Gothic"/>
          <w:color w:val="212121"/>
          <w:sz w:val="24"/>
          <w:szCs w:val="24"/>
        </w:rPr>
        <w:t xml:space="preserve">Figure 7 summarizes the dynamics of the thermal front in the Mauritanian zone. During the year 2018, the thermal front stayed in the Mauritanian coast about 158 </w:t>
      </w:r>
      <w:r w:rsidRPr="006621F1">
        <w:rPr>
          <w:rFonts w:ascii="Arial" w:hAnsi="Arial" w:cs="Arial"/>
          <w:color w:val="212121"/>
          <w:sz w:val="24"/>
          <w:szCs w:val="24"/>
        </w:rPr>
        <w:t>​​</w:t>
      </w:r>
      <w:r w:rsidRPr="006621F1">
        <w:rPr>
          <w:rFonts w:ascii="Century Gothic" w:hAnsi="Century Gothic"/>
          <w:color w:val="212121"/>
          <w:sz w:val="24"/>
          <w:szCs w:val="24"/>
        </w:rPr>
        <w:t>days in total.</w:t>
      </w:r>
    </w:p>
    <w:p w:rsidR="0070754A" w:rsidRPr="006621F1" w:rsidRDefault="0070754A" w:rsidP="00FE159B">
      <w:pPr>
        <w:pStyle w:val="PrformatHTML"/>
        <w:shd w:val="clear" w:color="auto" w:fill="FFFFFF"/>
        <w:rPr>
          <w:rFonts w:ascii="Century Gothic" w:hAnsi="Century Gothic"/>
          <w:color w:val="212121"/>
          <w:sz w:val="24"/>
          <w:szCs w:val="24"/>
        </w:rPr>
      </w:pPr>
    </w:p>
    <w:p w:rsidR="0070754A" w:rsidRPr="006621F1" w:rsidRDefault="0070754A" w:rsidP="00FE159B">
      <w:pPr>
        <w:pStyle w:val="PrformatHTML"/>
        <w:shd w:val="clear" w:color="auto" w:fill="FFFFFF"/>
        <w:rPr>
          <w:rFonts w:ascii="Century Gothic" w:hAnsi="Century Gothic"/>
          <w:color w:val="212121"/>
          <w:sz w:val="24"/>
          <w:szCs w:val="24"/>
          <w:lang w:val="en-US"/>
        </w:rPr>
      </w:pPr>
    </w:p>
    <w:tbl>
      <w:tblPr>
        <w:tblStyle w:val="Grilledutableau"/>
        <w:tblW w:w="8405" w:type="dxa"/>
        <w:tblLayout w:type="fixed"/>
        <w:tblLook w:val="04A0" w:firstRow="1" w:lastRow="0" w:firstColumn="1" w:lastColumn="0" w:noHBand="0" w:noVBand="1"/>
      </w:tblPr>
      <w:tblGrid>
        <w:gridCol w:w="1559"/>
        <w:gridCol w:w="389"/>
        <w:gridCol w:w="391"/>
        <w:gridCol w:w="391"/>
        <w:gridCol w:w="391"/>
        <w:gridCol w:w="403"/>
        <w:gridCol w:w="403"/>
        <w:gridCol w:w="403"/>
        <w:gridCol w:w="403"/>
        <w:gridCol w:w="459"/>
        <w:gridCol w:w="459"/>
        <w:gridCol w:w="459"/>
        <w:gridCol w:w="459"/>
        <w:gridCol w:w="459"/>
        <w:gridCol w:w="459"/>
        <w:gridCol w:w="459"/>
        <w:gridCol w:w="459"/>
      </w:tblGrid>
      <w:tr w:rsidR="0070754A" w:rsidRPr="006621F1" w:rsidTr="0070754A">
        <w:trPr>
          <w:trHeight w:val="405"/>
        </w:trPr>
        <w:tc>
          <w:tcPr>
            <w:tcW w:w="1559" w:type="dxa"/>
            <w:vMerge w:val="restart"/>
            <w:tcBorders>
              <w:tl2br w:val="single" w:sz="4" w:space="0" w:color="auto"/>
            </w:tcBorders>
          </w:tcPr>
          <w:p w:rsidR="0070754A" w:rsidRPr="006621F1" w:rsidRDefault="0070754A" w:rsidP="00677A43">
            <w:pPr>
              <w:rPr>
                <w:rFonts w:ascii="Century Gothic" w:hAnsi="Century Gothic"/>
                <w:b/>
                <w:bCs/>
                <w:sz w:val="18"/>
                <w:szCs w:val="18"/>
              </w:rPr>
            </w:pPr>
            <w:r w:rsidRPr="006621F1">
              <w:rPr>
                <w:rFonts w:ascii="Century Gothic" w:hAnsi="Century Gothic"/>
                <w:b/>
                <w:bCs/>
                <w:sz w:val="18"/>
                <w:szCs w:val="18"/>
              </w:rPr>
              <w:t xml:space="preserve">    </w:t>
            </w:r>
          </w:p>
          <w:p w:rsidR="0070754A" w:rsidRPr="006621F1" w:rsidRDefault="0070754A" w:rsidP="00677A43">
            <w:pPr>
              <w:jc w:val="right"/>
              <w:rPr>
                <w:rFonts w:ascii="Century Gothic" w:hAnsi="Century Gothic"/>
                <w:b/>
                <w:bCs/>
                <w:sz w:val="18"/>
                <w:szCs w:val="18"/>
              </w:rPr>
            </w:pPr>
            <w:proofErr w:type="spellStart"/>
            <w:r w:rsidRPr="006621F1">
              <w:rPr>
                <w:rFonts w:ascii="Century Gothic" w:hAnsi="Century Gothic"/>
                <w:b/>
                <w:bCs/>
                <w:sz w:val="18"/>
                <w:szCs w:val="18"/>
              </w:rPr>
              <w:t>Months</w:t>
            </w:r>
            <w:proofErr w:type="spellEnd"/>
          </w:p>
          <w:p w:rsidR="0070754A" w:rsidRPr="006621F1" w:rsidRDefault="0070754A" w:rsidP="00677A43">
            <w:pPr>
              <w:rPr>
                <w:rFonts w:ascii="Century Gothic" w:hAnsi="Century Gothic"/>
                <w:b/>
                <w:bCs/>
                <w:sz w:val="18"/>
                <w:szCs w:val="18"/>
              </w:rPr>
            </w:pPr>
          </w:p>
          <w:p w:rsidR="0070754A" w:rsidRPr="006621F1" w:rsidRDefault="0070754A" w:rsidP="00677A43">
            <w:pPr>
              <w:rPr>
                <w:rFonts w:ascii="Century Gothic" w:hAnsi="Century Gothic"/>
                <w:b/>
                <w:bCs/>
                <w:sz w:val="18"/>
                <w:szCs w:val="18"/>
              </w:rPr>
            </w:pPr>
          </w:p>
          <w:p w:rsidR="0070754A" w:rsidRPr="006621F1" w:rsidRDefault="0070754A" w:rsidP="00677A43">
            <w:pPr>
              <w:rPr>
                <w:rFonts w:ascii="Century Gothic" w:hAnsi="Century Gothic"/>
                <w:b/>
                <w:bCs/>
                <w:sz w:val="18"/>
                <w:szCs w:val="18"/>
              </w:rPr>
            </w:pPr>
            <w:proofErr w:type="spellStart"/>
            <w:r w:rsidRPr="006621F1">
              <w:rPr>
                <w:rFonts w:ascii="Century Gothic" w:hAnsi="Century Gothic"/>
                <w:b/>
                <w:bCs/>
                <w:sz w:val="18"/>
                <w:szCs w:val="18"/>
              </w:rPr>
              <w:t>Lat</w:t>
            </w:r>
            <w:proofErr w:type="spellEnd"/>
            <w:r w:rsidRPr="006621F1">
              <w:rPr>
                <w:rFonts w:ascii="Century Gothic" w:hAnsi="Century Gothic"/>
                <w:b/>
                <w:bCs/>
                <w:sz w:val="18"/>
                <w:szCs w:val="18"/>
              </w:rPr>
              <w:t>(°N)</w:t>
            </w:r>
          </w:p>
        </w:tc>
        <w:tc>
          <w:tcPr>
            <w:tcW w:w="1562" w:type="dxa"/>
            <w:gridSpan w:val="4"/>
          </w:tcPr>
          <w:p w:rsidR="0070754A" w:rsidRPr="006621F1" w:rsidRDefault="0070754A" w:rsidP="00677A43">
            <w:pPr>
              <w:jc w:val="center"/>
              <w:rPr>
                <w:rFonts w:ascii="Century Gothic" w:hAnsi="Century Gothic"/>
                <w:b/>
                <w:bCs/>
                <w:sz w:val="18"/>
                <w:szCs w:val="18"/>
              </w:rPr>
            </w:pPr>
            <w:r w:rsidRPr="006621F1">
              <w:rPr>
                <w:rFonts w:ascii="Century Gothic" w:hAnsi="Century Gothic"/>
                <w:b/>
                <w:bCs/>
                <w:sz w:val="18"/>
                <w:szCs w:val="18"/>
              </w:rPr>
              <w:t>Jun_18</w:t>
            </w:r>
          </w:p>
        </w:tc>
        <w:tc>
          <w:tcPr>
            <w:tcW w:w="1612" w:type="dxa"/>
            <w:gridSpan w:val="4"/>
          </w:tcPr>
          <w:p w:rsidR="0070754A" w:rsidRPr="006621F1" w:rsidRDefault="0070754A" w:rsidP="00677A43">
            <w:pPr>
              <w:jc w:val="center"/>
              <w:rPr>
                <w:rFonts w:ascii="Century Gothic" w:hAnsi="Century Gothic"/>
                <w:b/>
                <w:bCs/>
                <w:sz w:val="18"/>
                <w:szCs w:val="18"/>
              </w:rPr>
            </w:pPr>
            <w:r w:rsidRPr="006621F1">
              <w:rPr>
                <w:rFonts w:ascii="Century Gothic" w:hAnsi="Century Gothic"/>
                <w:b/>
                <w:bCs/>
                <w:sz w:val="18"/>
                <w:szCs w:val="18"/>
              </w:rPr>
              <w:t>Aug_18</w:t>
            </w:r>
          </w:p>
        </w:tc>
        <w:tc>
          <w:tcPr>
            <w:tcW w:w="1836" w:type="dxa"/>
            <w:gridSpan w:val="4"/>
          </w:tcPr>
          <w:p w:rsidR="0070754A" w:rsidRPr="006621F1" w:rsidRDefault="0070754A" w:rsidP="00677A43">
            <w:pPr>
              <w:jc w:val="center"/>
              <w:rPr>
                <w:rFonts w:ascii="Century Gothic" w:hAnsi="Century Gothic"/>
                <w:b/>
                <w:bCs/>
                <w:sz w:val="18"/>
                <w:szCs w:val="18"/>
              </w:rPr>
            </w:pPr>
            <w:r w:rsidRPr="006621F1">
              <w:rPr>
                <w:rFonts w:ascii="Century Gothic" w:hAnsi="Century Gothic"/>
                <w:b/>
                <w:bCs/>
                <w:sz w:val="18"/>
                <w:szCs w:val="18"/>
              </w:rPr>
              <w:t>Oct_18</w:t>
            </w:r>
          </w:p>
        </w:tc>
        <w:tc>
          <w:tcPr>
            <w:tcW w:w="1836" w:type="dxa"/>
            <w:gridSpan w:val="4"/>
          </w:tcPr>
          <w:p w:rsidR="0070754A" w:rsidRPr="006621F1" w:rsidRDefault="0070754A" w:rsidP="00677A43">
            <w:pPr>
              <w:jc w:val="center"/>
              <w:rPr>
                <w:rFonts w:ascii="Century Gothic" w:hAnsi="Century Gothic"/>
                <w:b/>
                <w:bCs/>
                <w:sz w:val="18"/>
                <w:szCs w:val="18"/>
              </w:rPr>
            </w:pPr>
            <w:r w:rsidRPr="006621F1">
              <w:rPr>
                <w:rFonts w:ascii="Century Gothic" w:hAnsi="Century Gothic"/>
                <w:b/>
                <w:bCs/>
                <w:sz w:val="18"/>
                <w:szCs w:val="18"/>
              </w:rPr>
              <w:t>Jan_19</w:t>
            </w:r>
          </w:p>
        </w:tc>
      </w:tr>
      <w:tr w:rsidR="0070754A" w:rsidRPr="006621F1" w:rsidTr="0070754A">
        <w:trPr>
          <w:trHeight w:val="405"/>
        </w:trPr>
        <w:tc>
          <w:tcPr>
            <w:tcW w:w="1559" w:type="dxa"/>
            <w:vMerge/>
            <w:tcBorders>
              <w:tl2br w:val="single" w:sz="4" w:space="0" w:color="auto"/>
            </w:tcBorders>
          </w:tcPr>
          <w:p w:rsidR="0070754A" w:rsidRPr="006621F1" w:rsidRDefault="0070754A" w:rsidP="00677A43">
            <w:pPr>
              <w:rPr>
                <w:rFonts w:ascii="Century Gothic" w:hAnsi="Century Gothic"/>
                <w:b/>
                <w:bCs/>
                <w:sz w:val="18"/>
                <w:szCs w:val="18"/>
              </w:rPr>
            </w:pPr>
          </w:p>
        </w:tc>
        <w:tc>
          <w:tcPr>
            <w:tcW w:w="38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W1</w:t>
            </w:r>
          </w:p>
        </w:tc>
        <w:tc>
          <w:tcPr>
            <w:tcW w:w="391"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W2</w:t>
            </w:r>
          </w:p>
        </w:tc>
        <w:tc>
          <w:tcPr>
            <w:tcW w:w="391"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W3</w:t>
            </w:r>
          </w:p>
        </w:tc>
        <w:tc>
          <w:tcPr>
            <w:tcW w:w="391"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W4</w:t>
            </w:r>
          </w:p>
        </w:tc>
        <w:tc>
          <w:tcPr>
            <w:tcW w:w="403"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W1</w:t>
            </w:r>
          </w:p>
        </w:tc>
        <w:tc>
          <w:tcPr>
            <w:tcW w:w="403"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W2</w:t>
            </w:r>
          </w:p>
        </w:tc>
        <w:tc>
          <w:tcPr>
            <w:tcW w:w="403"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W3</w:t>
            </w:r>
          </w:p>
        </w:tc>
        <w:tc>
          <w:tcPr>
            <w:tcW w:w="403"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W4</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W1</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W2</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W3</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W4</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W1</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W2</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W3</w:t>
            </w:r>
          </w:p>
        </w:tc>
        <w:tc>
          <w:tcPr>
            <w:tcW w:w="459" w:type="dxa"/>
          </w:tcPr>
          <w:p w:rsidR="0070754A" w:rsidRPr="006621F1" w:rsidRDefault="0070754A" w:rsidP="00677A43">
            <w:pPr>
              <w:rPr>
                <w:rFonts w:ascii="Century Gothic" w:hAnsi="Century Gothic"/>
                <w:b/>
                <w:sz w:val="18"/>
                <w:szCs w:val="18"/>
              </w:rPr>
            </w:pPr>
          </w:p>
          <w:p w:rsidR="0070754A" w:rsidRPr="006621F1" w:rsidRDefault="0070754A" w:rsidP="00677A43">
            <w:pPr>
              <w:rPr>
                <w:rFonts w:ascii="Century Gothic" w:hAnsi="Century Gothic"/>
                <w:b/>
                <w:sz w:val="18"/>
                <w:szCs w:val="18"/>
              </w:rPr>
            </w:pPr>
            <w:r w:rsidRPr="006621F1">
              <w:rPr>
                <w:rFonts w:ascii="Century Gothic" w:hAnsi="Century Gothic"/>
                <w:b/>
                <w:sz w:val="18"/>
                <w:szCs w:val="18"/>
              </w:rPr>
              <w:t>W4</w:t>
            </w:r>
          </w:p>
        </w:tc>
      </w:tr>
      <w:tr w:rsidR="0070754A" w:rsidRPr="006621F1" w:rsidTr="0070754A">
        <w:tc>
          <w:tcPr>
            <w:tcW w:w="1559" w:type="dxa"/>
          </w:tcPr>
          <w:p w:rsidR="0070754A" w:rsidRPr="006621F1" w:rsidRDefault="0070754A" w:rsidP="00677A43">
            <w:pPr>
              <w:rPr>
                <w:rFonts w:ascii="Century Gothic" w:hAnsi="Century Gothic"/>
                <w:b/>
                <w:bCs/>
                <w:sz w:val="18"/>
                <w:szCs w:val="18"/>
              </w:rPr>
            </w:pPr>
          </w:p>
          <w:p w:rsidR="0070754A" w:rsidRPr="006621F1" w:rsidRDefault="0070754A" w:rsidP="00677A43">
            <w:pPr>
              <w:rPr>
                <w:rFonts w:ascii="Century Gothic" w:hAnsi="Century Gothic"/>
                <w:b/>
                <w:bCs/>
                <w:sz w:val="18"/>
                <w:szCs w:val="18"/>
              </w:rPr>
            </w:pPr>
            <w:r w:rsidRPr="006621F1">
              <w:rPr>
                <w:rFonts w:ascii="Century Gothic" w:hAnsi="Century Gothic"/>
                <w:b/>
                <w:bCs/>
                <w:sz w:val="18"/>
                <w:szCs w:val="18"/>
              </w:rPr>
              <w:t>16°30’N</w:t>
            </w:r>
          </w:p>
          <w:p w:rsidR="0070754A" w:rsidRPr="006621F1" w:rsidRDefault="0070754A" w:rsidP="00677A43">
            <w:pPr>
              <w:rPr>
                <w:rFonts w:ascii="Century Gothic" w:hAnsi="Century Gothic"/>
                <w:b/>
                <w:bCs/>
                <w:sz w:val="18"/>
                <w:szCs w:val="18"/>
              </w:rPr>
            </w:pPr>
          </w:p>
        </w:tc>
        <w:tc>
          <w:tcPr>
            <w:tcW w:w="389"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391" w:type="dxa"/>
            <w:shd w:val="clear" w:color="auto" w:fill="FF3399"/>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shd w:val="clear" w:color="auto" w:fill="FF3399"/>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r>
      <w:tr w:rsidR="0070754A" w:rsidRPr="006621F1" w:rsidTr="0070754A">
        <w:tc>
          <w:tcPr>
            <w:tcW w:w="1559" w:type="dxa"/>
          </w:tcPr>
          <w:p w:rsidR="0070754A" w:rsidRPr="006621F1" w:rsidRDefault="0070754A" w:rsidP="00677A43">
            <w:pPr>
              <w:rPr>
                <w:rFonts w:ascii="Century Gothic" w:hAnsi="Century Gothic"/>
                <w:b/>
                <w:bCs/>
                <w:sz w:val="18"/>
                <w:szCs w:val="18"/>
              </w:rPr>
            </w:pPr>
          </w:p>
          <w:p w:rsidR="0070754A" w:rsidRPr="006621F1" w:rsidRDefault="0070754A" w:rsidP="00677A43">
            <w:pPr>
              <w:rPr>
                <w:rFonts w:ascii="Century Gothic" w:hAnsi="Century Gothic"/>
                <w:b/>
                <w:bCs/>
                <w:sz w:val="18"/>
                <w:szCs w:val="18"/>
              </w:rPr>
            </w:pPr>
            <w:r w:rsidRPr="006621F1">
              <w:rPr>
                <w:rFonts w:ascii="Century Gothic" w:hAnsi="Century Gothic"/>
                <w:b/>
                <w:bCs/>
                <w:sz w:val="18"/>
                <w:szCs w:val="18"/>
              </w:rPr>
              <w:t>20°30’N</w:t>
            </w:r>
          </w:p>
          <w:p w:rsidR="0070754A" w:rsidRPr="006621F1" w:rsidRDefault="0070754A" w:rsidP="00677A43">
            <w:pPr>
              <w:rPr>
                <w:rFonts w:ascii="Century Gothic" w:hAnsi="Century Gothic"/>
                <w:b/>
                <w:bCs/>
                <w:sz w:val="18"/>
                <w:szCs w:val="18"/>
              </w:rPr>
            </w:pPr>
          </w:p>
        </w:tc>
        <w:tc>
          <w:tcPr>
            <w:tcW w:w="389"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shd w:val="clear" w:color="auto" w:fill="FF3399"/>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shd w:val="clear" w:color="auto" w:fill="FF3399"/>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r>
      <w:tr w:rsidR="0070754A" w:rsidRPr="006621F1" w:rsidTr="0070754A">
        <w:tc>
          <w:tcPr>
            <w:tcW w:w="1559" w:type="dxa"/>
          </w:tcPr>
          <w:p w:rsidR="0070754A" w:rsidRPr="006621F1" w:rsidRDefault="0070754A" w:rsidP="00677A43">
            <w:pPr>
              <w:rPr>
                <w:rFonts w:ascii="Century Gothic" w:hAnsi="Century Gothic"/>
                <w:b/>
                <w:bCs/>
                <w:sz w:val="18"/>
                <w:szCs w:val="18"/>
              </w:rPr>
            </w:pPr>
          </w:p>
          <w:p w:rsidR="0070754A" w:rsidRPr="006621F1" w:rsidRDefault="0070754A" w:rsidP="00677A43">
            <w:pPr>
              <w:rPr>
                <w:rFonts w:ascii="Century Gothic" w:hAnsi="Century Gothic"/>
                <w:b/>
                <w:bCs/>
                <w:sz w:val="18"/>
                <w:szCs w:val="18"/>
              </w:rPr>
            </w:pPr>
            <w:r w:rsidRPr="006621F1">
              <w:rPr>
                <w:rFonts w:ascii="Century Gothic" w:hAnsi="Century Gothic"/>
                <w:b/>
                <w:bCs/>
                <w:sz w:val="18"/>
                <w:szCs w:val="18"/>
              </w:rPr>
              <w:t>21°30’N</w:t>
            </w:r>
          </w:p>
          <w:p w:rsidR="0070754A" w:rsidRPr="006621F1" w:rsidRDefault="0070754A" w:rsidP="00677A43">
            <w:pPr>
              <w:rPr>
                <w:rFonts w:ascii="Century Gothic" w:hAnsi="Century Gothic"/>
                <w:b/>
                <w:bCs/>
                <w:sz w:val="18"/>
                <w:szCs w:val="18"/>
              </w:rPr>
            </w:pPr>
          </w:p>
        </w:tc>
        <w:tc>
          <w:tcPr>
            <w:tcW w:w="389"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391"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03" w:type="dxa"/>
            <w:shd w:val="clear" w:color="auto" w:fill="FF3399"/>
          </w:tcPr>
          <w:p w:rsidR="0070754A" w:rsidRPr="006621F1" w:rsidRDefault="0070754A" w:rsidP="00677A43">
            <w:pPr>
              <w:rPr>
                <w:rFonts w:ascii="Century Gothic" w:hAnsi="Century Gothic"/>
                <w:b/>
                <w:sz w:val="18"/>
                <w:szCs w:val="18"/>
              </w:rPr>
            </w:pPr>
          </w:p>
        </w:tc>
        <w:tc>
          <w:tcPr>
            <w:tcW w:w="403"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70754A">
            <w:pPr>
              <w:spacing w:line="360" w:lineRule="auto"/>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c>
          <w:tcPr>
            <w:tcW w:w="459" w:type="dxa"/>
          </w:tcPr>
          <w:p w:rsidR="0070754A" w:rsidRPr="006621F1" w:rsidRDefault="0070754A" w:rsidP="00677A43">
            <w:pPr>
              <w:rPr>
                <w:rFonts w:ascii="Century Gothic" w:hAnsi="Century Gothic"/>
                <w:b/>
                <w:sz w:val="18"/>
                <w:szCs w:val="18"/>
              </w:rPr>
            </w:pPr>
          </w:p>
        </w:tc>
      </w:tr>
    </w:tbl>
    <w:p w:rsidR="00FE159B" w:rsidRPr="006621F1" w:rsidRDefault="00FE159B" w:rsidP="0070754A">
      <w:pPr>
        <w:spacing w:after="0" w:line="480" w:lineRule="auto"/>
        <w:jc w:val="center"/>
        <w:rPr>
          <w:rFonts w:ascii="Century Gothic" w:hAnsi="Century Gothic"/>
          <w:spacing w:val="4"/>
          <w:sz w:val="24"/>
          <w:szCs w:val="24"/>
          <w:lang w:val="en-US"/>
        </w:rPr>
      </w:pPr>
      <w:r w:rsidRPr="006621F1">
        <w:rPr>
          <w:rFonts w:ascii="Century Gothic" w:hAnsi="Century Gothic"/>
          <w:b/>
          <w:spacing w:val="4"/>
          <w:sz w:val="24"/>
          <w:szCs w:val="24"/>
          <w:lang w:val="en-US"/>
        </w:rPr>
        <w:t>Figure7: Dynamics of the thermal front in the ZEEM during 2018</w:t>
      </w:r>
    </w:p>
    <w:p w:rsidR="00FE159B" w:rsidRPr="006621F1" w:rsidRDefault="00FE159B" w:rsidP="00FE159B">
      <w:pPr>
        <w:spacing w:after="0"/>
        <w:jc w:val="both"/>
        <w:rPr>
          <w:rFonts w:ascii="Century Gothic" w:hAnsi="Century Gothic"/>
          <w:spacing w:val="4"/>
          <w:sz w:val="24"/>
          <w:szCs w:val="24"/>
          <w:lang w:val="en-US"/>
        </w:rPr>
      </w:pPr>
    </w:p>
    <w:p w:rsidR="00FE159B" w:rsidRPr="006621F1" w:rsidRDefault="004065BF" w:rsidP="00337B87">
      <w:pPr>
        <w:spacing w:after="0"/>
        <w:jc w:val="both"/>
        <w:rPr>
          <w:rFonts w:ascii="Century Gothic" w:hAnsi="Century Gothic"/>
          <w:spacing w:val="4"/>
          <w:sz w:val="24"/>
          <w:szCs w:val="24"/>
          <w:lang w:val="en-US"/>
        </w:rPr>
      </w:pPr>
      <w:r w:rsidRPr="006621F1">
        <w:rPr>
          <w:rFonts w:ascii="Century Gothic" w:hAnsi="Century Gothic"/>
          <w:spacing w:val="4"/>
          <w:sz w:val="24"/>
          <w:szCs w:val="24"/>
          <w:lang w:val="en-US"/>
        </w:rPr>
        <w:lastRenderedPageBreak/>
        <w:t xml:space="preserve">The late inflow and outflow of thermal front waters in the Mauritanian EEZ is closely linked to climate change, which is governed by the situation of regional and global hydro-climatic phenomena (seasonal variability in the positioning of action </w:t>
      </w:r>
      <w:proofErr w:type="spellStart"/>
      <w:r w:rsidRPr="006621F1">
        <w:rPr>
          <w:rFonts w:ascii="Century Gothic" w:hAnsi="Century Gothic"/>
          <w:spacing w:val="4"/>
          <w:sz w:val="24"/>
          <w:szCs w:val="24"/>
          <w:lang w:val="en-US"/>
        </w:rPr>
        <w:t>centres</w:t>
      </w:r>
      <w:proofErr w:type="spellEnd"/>
      <w:r w:rsidRPr="006621F1">
        <w:rPr>
          <w:rFonts w:ascii="Century Gothic" w:hAnsi="Century Gothic"/>
          <w:spacing w:val="4"/>
          <w:sz w:val="24"/>
          <w:szCs w:val="24"/>
          <w:lang w:val="en-US"/>
        </w:rPr>
        <w:t xml:space="preserve">, EL Nino, ENSO, EL Nina, </w:t>
      </w:r>
      <w:proofErr w:type="gramStart"/>
      <w:r w:rsidRPr="006621F1">
        <w:rPr>
          <w:rFonts w:ascii="Century Gothic" w:hAnsi="Century Gothic"/>
          <w:spacing w:val="4"/>
          <w:sz w:val="24"/>
          <w:szCs w:val="24"/>
          <w:lang w:val="en-US"/>
        </w:rPr>
        <w:t>NAO,...</w:t>
      </w:r>
      <w:proofErr w:type="gramEnd"/>
      <w:r w:rsidRPr="006621F1">
        <w:rPr>
          <w:rFonts w:ascii="Century Gothic" w:hAnsi="Century Gothic"/>
          <w:spacing w:val="4"/>
          <w:sz w:val="24"/>
          <w:szCs w:val="24"/>
          <w:lang w:val="en-US"/>
        </w:rPr>
        <w:t>). This current state can lead to an exceptional situation of the presence and dynamics of fisheries resources.</w:t>
      </w:r>
    </w:p>
    <w:p w:rsidR="004065BF" w:rsidRPr="006621F1" w:rsidRDefault="004065BF" w:rsidP="00337B87">
      <w:pPr>
        <w:jc w:val="both"/>
        <w:rPr>
          <w:rFonts w:ascii="Century Gothic" w:hAnsi="Century Gothic" w:cstheme="majorBidi"/>
          <w:b/>
          <w:bCs/>
          <w:sz w:val="24"/>
          <w:szCs w:val="24"/>
          <w:lang w:val="en-US"/>
        </w:rPr>
      </w:pPr>
    </w:p>
    <w:p w:rsidR="004065BF" w:rsidRPr="006621F1" w:rsidRDefault="004065BF" w:rsidP="00337B87">
      <w:pPr>
        <w:jc w:val="both"/>
        <w:rPr>
          <w:rFonts w:ascii="Century Gothic" w:hAnsi="Century Gothic" w:cstheme="majorBidi"/>
          <w:b/>
          <w:bCs/>
          <w:sz w:val="24"/>
          <w:szCs w:val="24"/>
          <w:lang w:val="en-US"/>
        </w:rPr>
      </w:pPr>
      <w:r w:rsidRPr="006621F1">
        <w:rPr>
          <w:rFonts w:ascii="Century Gothic" w:hAnsi="Century Gothic" w:cstheme="majorBidi"/>
          <w:b/>
          <w:bCs/>
          <w:sz w:val="24"/>
          <w:szCs w:val="24"/>
          <w:lang w:val="en-US"/>
        </w:rPr>
        <w:t>Conclusion</w:t>
      </w:r>
    </w:p>
    <w:p w:rsidR="004065BF" w:rsidRPr="006621F1" w:rsidRDefault="004065BF" w:rsidP="00337B87">
      <w:pPr>
        <w:jc w:val="both"/>
        <w:rPr>
          <w:rFonts w:ascii="Century Gothic" w:hAnsi="Century Gothic" w:cstheme="majorBidi"/>
          <w:sz w:val="24"/>
          <w:szCs w:val="24"/>
          <w:lang w:val="en-US"/>
        </w:rPr>
      </w:pPr>
      <w:r w:rsidRPr="006621F1">
        <w:rPr>
          <w:rFonts w:ascii="Century Gothic" w:hAnsi="Century Gothic" w:cstheme="majorBidi"/>
          <w:sz w:val="24"/>
          <w:szCs w:val="24"/>
          <w:lang w:val="en-US"/>
        </w:rPr>
        <w:t xml:space="preserve">The following conclusions can be drawn from this study: </w:t>
      </w:r>
    </w:p>
    <w:p w:rsidR="004065BF" w:rsidRPr="006621F1" w:rsidRDefault="004065BF" w:rsidP="00337B87">
      <w:pPr>
        <w:jc w:val="both"/>
        <w:rPr>
          <w:rFonts w:ascii="Century Gothic" w:hAnsi="Century Gothic" w:cstheme="majorBidi"/>
          <w:sz w:val="24"/>
          <w:szCs w:val="24"/>
          <w:lang w:val="en-US"/>
        </w:rPr>
      </w:pPr>
    </w:p>
    <w:p w:rsidR="004065BF" w:rsidRPr="006621F1" w:rsidRDefault="004065BF" w:rsidP="00337B87">
      <w:pPr>
        <w:jc w:val="both"/>
        <w:rPr>
          <w:rFonts w:ascii="Century Gothic" w:hAnsi="Century Gothic" w:cstheme="majorBidi"/>
          <w:sz w:val="24"/>
          <w:szCs w:val="24"/>
          <w:lang w:val="en-US"/>
        </w:rPr>
      </w:pPr>
      <w:r w:rsidRPr="006621F1">
        <w:rPr>
          <w:rFonts w:ascii="Century Gothic" w:hAnsi="Century Gothic" w:cstheme="majorBidi"/>
          <w:sz w:val="24"/>
          <w:szCs w:val="24"/>
          <w:lang w:val="en-US"/>
        </w:rPr>
        <w:t>- The presence of thermal front water from the third week of June;</w:t>
      </w:r>
    </w:p>
    <w:p w:rsidR="004065BF" w:rsidRPr="006621F1" w:rsidRDefault="004065BF" w:rsidP="00337B87">
      <w:pPr>
        <w:jc w:val="both"/>
        <w:rPr>
          <w:rFonts w:ascii="Century Gothic" w:hAnsi="Century Gothic" w:cstheme="majorBidi"/>
          <w:sz w:val="24"/>
          <w:szCs w:val="24"/>
          <w:lang w:val="en-US"/>
        </w:rPr>
      </w:pPr>
      <w:r w:rsidRPr="006621F1">
        <w:rPr>
          <w:rFonts w:ascii="Century Gothic" w:hAnsi="Century Gothic" w:cstheme="majorBidi"/>
          <w:sz w:val="24"/>
          <w:szCs w:val="24"/>
          <w:lang w:val="en-US"/>
        </w:rPr>
        <w:t xml:space="preserve">- The exit of the thermal front to the north towards the </w:t>
      </w:r>
      <w:proofErr w:type="spellStart"/>
      <w:r w:rsidRPr="006621F1">
        <w:rPr>
          <w:rFonts w:ascii="Century Gothic" w:hAnsi="Century Gothic" w:cstheme="majorBidi"/>
          <w:sz w:val="24"/>
          <w:szCs w:val="24"/>
          <w:lang w:val="en-US"/>
        </w:rPr>
        <w:t>Dakhla</w:t>
      </w:r>
      <w:proofErr w:type="spellEnd"/>
      <w:r w:rsidRPr="006621F1">
        <w:rPr>
          <w:rFonts w:ascii="Century Gothic" w:hAnsi="Century Gothic" w:cstheme="majorBidi"/>
          <w:sz w:val="24"/>
          <w:szCs w:val="24"/>
          <w:lang w:val="en-US"/>
        </w:rPr>
        <w:t xml:space="preserve"> area in the third week of August;</w:t>
      </w:r>
    </w:p>
    <w:p w:rsidR="004065BF" w:rsidRPr="006621F1" w:rsidRDefault="004065BF" w:rsidP="00337B87">
      <w:pPr>
        <w:jc w:val="both"/>
        <w:rPr>
          <w:rFonts w:ascii="Century Gothic" w:hAnsi="Century Gothic" w:cstheme="majorBidi"/>
          <w:sz w:val="24"/>
          <w:szCs w:val="24"/>
          <w:lang w:val="en-US"/>
        </w:rPr>
      </w:pPr>
      <w:r w:rsidRPr="006621F1">
        <w:rPr>
          <w:rFonts w:ascii="Century Gothic" w:hAnsi="Century Gothic" w:cstheme="majorBidi"/>
          <w:sz w:val="24"/>
          <w:szCs w:val="24"/>
          <w:lang w:val="en-US"/>
        </w:rPr>
        <w:t xml:space="preserve">- The Mauritanian coast is totally covered by warm waters from the second half of August onwards; </w:t>
      </w:r>
    </w:p>
    <w:p w:rsidR="004065BF" w:rsidRPr="006621F1" w:rsidRDefault="004065BF" w:rsidP="00337B87">
      <w:pPr>
        <w:jc w:val="both"/>
        <w:rPr>
          <w:rFonts w:ascii="Century Gothic" w:hAnsi="Century Gothic" w:cstheme="majorBidi"/>
          <w:sz w:val="24"/>
          <w:szCs w:val="24"/>
          <w:lang w:val="en-US"/>
        </w:rPr>
      </w:pPr>
      <w:r w:rsidRPr="006621F1">
        <w:rPr>
          <w:rFonts w:ascii="Century Gothic" w:hAnsi="Century Gothic" w:cstheme="majorBidi"/>
          <w:sz w:val="24"/>
          <w:szCs w:val="24"/>
          <w:lang w:val="en-US"/>
        </w:rPr>
        <w:t>- the return of water from the front to the north of the MTA in the third week of October;</w:t>
      </w:r>
    </w:p>
    <w:p w:rsidR="004065BF" w:rsidRPr="006621F1" w:rsidRDefault="004065BF" w:rsidP="00337B87">
      <w:pPr>
        <w:jc w:val="both"/>
        <w:rPr>
          <w:rFonts w:ascii="Century Gothic" w:hAnsi="Century Gothic" w:cstheme="majorBidi"/>
          <w:sz w:val="24"/>
          <w:szCs w:val="24"/>
          <w:lang w:val="en-US"/>
        </w:rPr>
      </w:pPr>
      <w:r w:rsidRPr="006621F1">
        <w:rPr>
          <w:rFonts w:ascii="Century Gothic" w:hAnsi="Century Gothic" w:cstheme="majorBidi"/>
          <w:sz w:val="24"/>
          <w:szCs w:val="24"/>
          <w:lang w:val="en-US"/>
        </w:rPr>
        <w:t>- in January 2019 the waters of the front withdrew from the Mauritanian coasts towards the Senegal zone.</w:t>
      </w:r>
    </w:p>
    <w:p w:rsidR="00337B87" w:rsidRDefault="00337B87" w:rsidP="00337B87">
      <w:pPr>
        <w:spacing w:after="0" w:line="480" w:lineRule="auto"/>
        <w:rPr>
          <w:rFonts w:asciiTheme="majorBidi" w:hAnsiTheme="majorBidi" w:cstheme="majorBidi"/>
          <w:b/>
          <w:bCs/>
          <w:smallCaps/>
          <w:spacing w:val="4"/>
          <w:sz w:val="24"/>
          <w:szCs w:val="24"/>
        </w:rPr>
      </w:pPr>
    </w:p>
    <w:p w:rsidR="00337B87" w:rsidRPr="00337B87" w:rsidRDefault="00337B87" w:rsidP="00337B87">
      <w:pPr>
        <w:spacing w:after="0" w:line="480" w:lineRule="auto"/>
        <w:rPr>
          <w:rFonts w:asciiTheme="majorBidi" w:hAnsiTheme="majorBidi" w:cstheme="majorBidi"/>
          <w:b/>
          <w:bCs/>
          <w:smallCaps/>
          <w:spacing w:val="4"/>
          <w:sz w:val="24"/>
          <w:szCs w:val="24"/>
        </w:rPr>
      </w:pPr>
      <w:bookmarkStart w:id="0" w:name="_GoBack"/>
      <w:bookmarkEnd w:id="0"/>
      <w:r w:rsidRPr="00337B87">
        <w:rPr>
          <w:rFonts w:asciiTheme="majorBidi" w:hAnsiTheme="majorBidi" w:cstheme="majorBidi"/>
          <w:b/>
          <w:bCs/>
          <w:smallCaps/>
          <w:spacing w:val="4"/>
          <w:sz w:val="24"/>
          <w:szCs w:val="24"/>
        </w:rPr>
        <w:t xml:space="preserve">Bibliographie </w:t>
      </w:r>
    </w:p>
    <w:p w:rsidR="00337B87" w:rsidRPr="007367E1" w:rsidRDefault="00337B87" w:rsidP="00337B87">
      <w:pPr>
        <w:spacing w:after="0"/>
        <w:jc w:val="both"/>
        <w:rPr>
          <w:rFonts w:asciiTheme="majorBidi" w:hAnsiTheme="majorBidi" w:cstheme="majorBidi"/>
          <w:sz w:val="24"/>
          <w:szCs w:val="24"/>
        </w:rPr>
      </w:pPr>
      <w:r w:rsidRPr="00F46360">
        <w:rPr>
          <w:rFonts w:asciiTheme="majorBidi" w:hAnsiTheme="majorBidi" w:cstheme="majorBidi"/>
          <w:sz w:val="24"/>
          <w:szCs w:val="24"/>
        </w:rPr>
        <w:t xml:space="preserve"> </w:t>
      </w:r>
      <w:proofErr w:type="spellStart"/>
      <w:r w:rsidRPr="007367E1">
        <w:rPr>
          <w:rFonts w:asciiTheme="majorBidi" w:hAnsiTheme="majorBidi" w:cstheme="majorBidi"/>
          <w:b/>
          <w:bCs/>
          <w:sz w:val="24"/>
          <w:szCs w:val="24"/>
        </w:rPr>
        <w:t>Debravolskya</w:t>
      </w:r>
      <w:proofErr w:type="spellEnd"/>
      <w:r w:rsidRPr="007367E1">
        <w:rPr>
          <w:rFonts w:asciiTheme="majorBidi" w:hAnsiTheme="majorBidi" w:cstheme="majorBidi"/>
          <w:b/>
          <w:bCs/>
          <w:sz w:val="24"/>
          <w:szCs w:val="24"/>
        </w:rPr>
        <w:t xml:space="preserve"> L. </w:t>
      </w:r>
      <w:r w:rsidRPr="007367E1">
        <w:rPr>
          <w:rFonts w:asciiTheme="majorBidi" w:hAnsiTheme="majorBidi" w:cstheme="majorBidi"/>
          <w:sz w:val="24"/>
          <w:szCs w:val="24"/>
        </w:rPr>
        <w:t xml:space="preserve">Le répertoire hydrométéorologique des eaux de la côte occidentale de l'Afrique. - </w:t>
      </w:r>
      <w:proofErr w:type="spellStart"/>
      <w:r w:rsidRPr="007367E1">
        <w:rPr>
          <w:rFonts w:asciiTheme="majorBidi" w:hAnsiTheme="majorBidi" w:cstheme="majorBidi"/>
          <w:sz w:val="24"/>
          <w:szCs w:val="24"/>
        </w:rPr>
        <w:t>Gidrométéozdat</w:t>
      </w:r>
      <w:proofErr w:type="spellEnd"/>
      <w:r w:rsidRPr="007367E1">
        <w:rPr>
          <w:rFonts w:asciiTheme="majorBidi" w:hAnsiTheme="majorBidi" w:cstheme="majorBidi"/>
          <w:sz w:val="24"/>
          <w:szCs w:val="24"/>
        </w:rPr>
        <w:t>, 1964. - 255 p.</w:t>
      </w:r>
    </w:p>
    <w:p w:rsidR="00337B87" w:rsidRPr="007367E1" w:rsidRDefault="00337B87" w:rsidP="00337B87">
      <w:pPr>
        <w:spacing w:after="0"/>
        <w:jc w:val="both"/>
        <w:rPr>
          <w:rFonts w:asciiTheme="majorBidi" w:hAnsiTheme="majorBidi" w:cstheme="majorBidi"/>
          <w:sz w:val="24"/>
          <w:szCs w:val="24"/>
        </w:rPr>
      </w:pPr>
      <w:r w:rsidRPr="007367E1">
        <w:rPr>
          <w:rFonts w:asciiTheme="majorBidi" w:hAnsiTheme="majorBidi" w:cstheme="majorBidi"/>
          <w:b/>
          <w:bCs/>
          <w:sz w:val="24"/>
          <w:szCs w:val="24"/>
        </w:rPr>
        <w:t>Fraga F. 1973 </w:t>
      </w:r>
      <w:r w:rsidRPr="007367E1">
        <w:rPr>
          <w:rFonts w:asciiTheme="majorBidi" w:hAnsiTheme="majorBidi" w:cstheme="majorBidi"/>
          <w:sz w:val="24"/>
          <w:szCs w:val="24"/>
        </w:rPr>
        <w:t xml:space="preserve">: </w:t>
      </w:r>
      <w:proofErr w:type="spellStart"/>
      <w:r w:rsidRPr="007367E1">
        <w:rPr>
          <w:rFonts w:asciiTheme="majorBidi" w:hAnsiTheme="majorBidi" w:cstheme="majorBidi"/>
          <w:sz w:val="24"/>
          <w:szCs w:val="24"/>
        </w:rPr>
        <w:t>Océanografia</w:t>
      </w:r>
      <w:proofErr w:type="spellEnd"/>
      <w:r w:rsidRPr="007367E1">
        <w:rPr>
          <w:rFonts w:asciiTheme="majorBidi" w:hAnsiTheme="majorBidi" w:cstheme="majorBidi"/>
          <w:sz w:val="24"/>
          <w:szCs w:val="24"/>
        </w:rPr>
        <w:t xml:space="preserve"> </w:t>
      </w:r>
      <w:proofErr w:type="spellStart"/>
      <w:r w:rsidRPr="007367E1">
        <w:rPr>
          <w:rFonts w:asciiTheme="majorBidi" w:hAnsiTheme="majorBidi" w:cstheme="majorBidi"/>
          <w:sz w:val="24"/>
          <w:szCs w:val="24"/>
        </w:rPr>
        <w:t>Quimica</w:t>
      </w:r>
      <w:proofErr w:type="spellEnd"/>
      <w:r w:rsidRPr="007367E1">
        <w:rPr>
          <w:rFonts w:asciiTheme="majorBidi" w:hAnsiTheme="majorBidi" w:cstheme="majorBidi"/>
          <w:sz w:val="24"/>
          <w:szCs w:val="24"/>
        </w:rPr>
        <w:t xml:space="preserve"> de la </w:t>
      </w:r>
      <w:proofErr w:type="spellStart"/>
      <w:r w:rsidRPr="007367E1">
        <w:rPr>
          <w:rFonts w:asciiTheme="majorBidi" w:hAnsiTheme="majorBidi" w:cstheme="majorBidi"/>
          <w:sz w:val="24"/>
          <w:szCs w:val="24"/>
        </w:rPr>
        <w:t>region</w:t>
      </w:r>
      <w:proofErr w:type="spellEnd"/>
      <w:r w:rsidRPr="007367E1">
        <w:rPr>
          <w:rFonts w:asciiTheme="majorBidi" w:hAnsiTheme="majorBidi" w:cstheme="majorBidi"/>
          <w:sz w:val="24"/>
          <w:szCs w:val="24"/>
        </w:rPr>
        <w:t xml:space="preserve"> de </w:t>
      </w:r>
      <w:proofErr w:type="spellStart"/>
      <w:r w:rsidRPr="007367E1">
        <w:rPr>
          <w:rFonts w:asciiTheme="majorBidi" w:hAnsiTheme="majorBidi" w:cstheme="majorBidi"/>
          <w:sz w:val="24"/>
          <w:szCs w:val="24"/>
        </w:rPr>
        <w:t>afloramiento</w:t>
      </w:r>
      <w:proofErr w:type="spellEnd"/>
      <w:r w:rsidRPr="007367E1">
        <w:rPr>
          <w:rFonts w:asciiTheme="majorBidi" w:hAnsiTheme="majorBidi" w:cstheme="majorBidi"/>
          <w:sz w:val="24"/>
          <w:szCs w:val="24"/>
        </w:rPr>
        <w:t xml:space="preserve"> </w:t>
      </w:r>
      <w:proofErr w:type="spellStart"/>
      <w:r w:rsidRPr="007367E1">
        <w:rPr>
          <w:rFonts w:asciiTheme="majorBidi" w:hAnsiTheme="majorBidi" w:cstheme="majorBidi"/>
          <w:sz w:val="24"/>
          <w:szCs w:val="24"/>
        </w:rPr>
        <w:t>del</w:t>
      </w:r>
      <w:proofErr w:type="spellEnd"/>
      <w:r w:rsidRPr="007367E1">
        <w:rPr>
          <w:rFonts w:asciiTheme="majorBidi" w:hAnsiTheme="majorBidi" w:cstheme="majorBidi"/>
          <w:sz w:val="24"/>
          <w:szCs w:val="24"/>
        </w:rPr>
        <w:t xml:space="preserve"> </w:t>
      </w:r>
      <w:proofErr w:type="spellStart"/>
      <w:r w:rsidRPr="007367E1">
        <w:rPr>
          <w:rFonts w:asciiTheme="majorBidi" w:hAnsiTheme="majorBidi" w:cstheme="majorBidi"/>
          <w:sz w:val="24"/>
          <w:szCs w:val="24"/>
        </w:rPr>
        <w:t>noroest</w:t>
      </w:r>
      <w:proofErr w:type="spellEnd"/>
      <w:r w:rsidRPr="007367E1">
        <w:rPr>
          <w:rFonts w:asciiTheme="majorBidi" w:hAnsiTheme="majorBidi" w:cstheme="majorBidi"/>
          <w:sz w:val="24"/>
          <w:szCs w:val="24"/>
        </w:rPr>
        <w:t xml:space="preserve"> de </w:t>
      </w:r>
      <w:proofErr w:type="spellStart"/>
      <w:proofErr w:type="gramStart"/>
      <w:r w:rsidRPr="007367E1">
        <w:rPr>
          <w:rFonts w:asciiTheme="majorBidi" w:hAnsiTheme="majorBidi" w:cstheme="majorBidi"/>
          <w:sz w:val="24"/>
          <w:szCs w:val="24"/>
        </w:rPr>
        <w:t>Africa</w:t>
      </w:r>
      <w:proofErr w:type="spellEnd"/>
      <w:r w:rsidRPr="007367E1">
        <w:rPr>
          <w:rFonts w:asciiTheme="majorBidi" w:hAnsiTheme="majorBidi" w:cstheme="majorBidi"/>
          <w:sz w:val="24"/>
          <w:szCs w:val="24"/>
        </w:rPr>
        <w:t xml:space="preserve"> .</w:t>
      </w:r>
      <w:proofErr w:type="spellStart"/>
      <w:r w:rsidRPr="007367E1">
        <w:rPr>
          <w:rFonts w:asciiTheme="majorBidi" w:hAnsiTheme="majorBidi" w:cstheme="majorBidi"/>
          <w:sz w:val="24"/>
          <w:szCs w:val="24"/>
        </w:rPr>
        <w:t>I</w:t>
      </w:r>
      <w:proofErr w:type="gramEnd"/>
      <w:r w:rsidRPr="007367E1">
        <w:rPr>
          <w:rFonts w:asciiTheme="majorBidi" w:hAnsiTheme="majorBidi" w:cstheme="majorBidi"/>
          <w:sz w:val="24"/>
          <w:szCs w:val="24"/>
        </w:rPr>
        <w:t>.Res.Exp.cient</w:t>
      </w:r>
      <w:proofErr w:type="spellEnd"/>
      <w:r w:rsidRPr="007367E1">
        <w:rPr>
          <w:rFonts w:asciiTheme="majorBidi" w:hAnsiTheme="majorBidi" w:cstheme="majorBidi"/>
          <w:sz w:val="24"/>
          <w:szCs w:val="24"/>
        </w:rPr>
        <w:t xml:space="preserve"> B/O </w:t>
      </w:r>
      <w:proofErr w:type="spellStart"/>
      <w:r w:rsidRPr="007367E1">
        <w:rPr>
          <w:rFonts w:asciiTheme="majorBidi" w:hAnsiTheme="majorBidi" w:cstheme="majorBidi"/>
          <w:sz w:val="24"/>
          <w:szCs w:val="24"/>
        </w:rPr>
        <w:t>Cornide</w:t>
      </w:r>
      <w:proofErr w:type="spellEnd"/>
      <w:r w:rsidRPr="007367E1">
        <w:rPr>
          <w:rFonts w:asciiTheme="majorBidi" w:hAnsiTheme="majorBidi" w:cstheme="majorBidi"/>
          <w:sz w:val="24"/>
          <w:szCs w:val="24"/>
        </w:rPr>
        <w:t xml:space="preserve"> ,2 :13-52.</w:t>
      </w:r>
    </w:p>
    <w:p w:rsidR="00337B87" w:rsidRPr="00666346" w:rsidRDefault="00337B87" w:rsidP="00337B87">
      <w:pPr>
        <w:spacing w:after="0"/>
        <w:jc w:val="both"/>
        <w:rPr>
          <w:rFonts w:asciiTheme="majorBidi" w:hAnsiTheme="majorBidi" w:cstheme="majorBidi"/>
          <w:sz w:val="24"/>
          <w:szCs w:val="24"/>
        </w:rPr>
      </w:pPr>
      <w:r w:rsidRPr="007367E1">
        <w:rPr>
          <w:rFonts w:asciiTheme="majorBidi" w:hAnsiTheme="majorBidi" w:cstheme="majorBidi"/>
          <w:b/>
          <w:bCs/>
          <w:sz w:val="24"/>
          <w:szCs w:val="24"/>
          <w:lang w:val="en-US"/>
        </w:rPr>
        <w:t>Manriquez M., Fraga F.</w:t>
      </w:r>
      <w:r w:rsidRPr="007367E1">
        <w:rPr>
          <w:rFonts w:asciiTheme="majorBidi" w:hAnsiTheme="majorBidi" w:cstheme="majorBidi"/>
          <w:sz w:val="24"/>
          <w:szCs w:val="24"/>
          <w:lang w:val="en-US"/>
        </w:rPr>
        <w:t xml:space="preserve"> The distribution of water masses in the upwelling region off Northwest Africa in November // Rapp. P.-v. </w:t>
      </w:r>
      <w:proofErr w:type="spellStart"/>
      <w:r w:rsidRPr="007367E1">
        <w:rPr>
          <w:rFonts w:asciiTheme="majorBidi" w:hAnsiTheme="majorBidi" w:cstheme="majorBidi"/>
          <w:sz w:val="24"/>
          <w:szCs w:val="24"/>
          <w:lang w:val="en-US"/>
        </w:rPr>
        <w:t>Reun</w:t>
      </w:r>
      <w:proofErr w:type="spellEnd"/>
      <w:r w:rsidRPr="007367E1">
        <w:rPr>
          <w:rFonts w:asciiTheme="majorBidi" w:hAnsiTheme="majorBidi" w:cstheme="majorBidi"/>
          <w:sz w:val="24"/>
          <w:szCs w:val="24"/>
          <w:lang w:val="en-US"/>
        </w:rPr>
        <w:t xml:space="preserve">. </w:t>
      </w:r>
      <w:r w:rsidRPr="00666346">
        <w:rPr>
          <w:rFonts w:asciiTheme="majorBidi" w:hAnsiTheme="majorBidi" w:cstheme="majorBidi"/>
          <w:sz w:val="24"/>
          <w:szCs w:val="24"/>
        </w:rPr>
        <w:t xml:space="preserve">Cons. </w:t>
      </w:r>
      <w:proofErr w:type="spellStart"/>
      <w:proofErr w:type="gramStart"/>
      <w:r w:rsidRPr="00666346">
        <w:rPr>
          <w:rFonts w:asciiTheme="majorBidi" w:hAnsiTheme="majorBidi" w:cstheme="majorBidi"/>
          <w:sz w:val="24"/>
          <w:szCs w:val="24"/>
        </w:rPr>
        <w:t>int</w:t>
      </w:r>
      <w:proofErr w:type="spellEnd"/>
      <w:proofErr w:type="gramEnd"/>
      <w:r w:rsidRPr="00666346">
        <w:rPr>
          <w:rFonts w:asciiTheme="majorBidi" w:hAnsiTheme="majorBidi" w:cstheme="majorBidi"/>
          <w:sz w:val="24"/>
          <w:szCs w:val="24"/>
        </w:rPr>
        <w:t xml:space="preserve">. </w:t>
      </w:r>
      <w:proofErr w:type="spellStart"/>
      <w:r w:rsidRPr="00666346">
        <w:rPr>
          <w:rFonts w:asciiTheme="majorBidi" w:hAnsiTheme="majorBidi" w:cstheme="majorBidi"/>
          <w:sz w:val="24"/>
          <w:szCs w:val="24"/>
        </w:rPr>
        <w:t>Explor</w:t>
      </w:r>
      <w:proofErr w:type="spellEnd"/>
      <w:r w:rsidRPr="00666346">
        <w:rPr>
          <w:rFonts w:asciiTheme="majorBidi" w:hAnsiTheme="majorBidi" w:cstheme="majorBidi"/>
          <w:sz w:val="24"/>
          <w:szCs w:val="24"/>
        </w:rPr>
        <w:t>. Mer, 180. – 1982. – P. 39-47.</w:t>
      </w:r>
    </w:p>
    <w:p w:rsidR="00337B87" w:rsidRPr="00EF7AA1" w:rsidRDefault="00337B87" w:rsidP="00337B87">
      <w:pPr>
        <w:spacing w:after="0" w:line="360" w:lineRule="auto"/>
        <w:ind w:right="851"/>
        <w:jc w:val="both"/>
        <w:rPr>
          <w:rFonts w:ascii="Times New Roman" w:hAnsi="Times New Roman" w:cs="Times New Roman"/>
          <w:sz w:val="24"/>
          <w:szCs w:val="24"/>
        </w:rPr>
      </w:pPr>
      <w:r>
        <w:rPr>
          <w:rFonts w:ascii="Times New Roman" w:hAnsi="Times New Roman" w:cs="Times New Roman"/>
          <w:b/>
          <w:bCs/>
          <w:sz w:val="24"/>
          <w:szCs w:val="24"/>
        </w:rPr>
        <w:t>Sites internet consultés :</w:t>
      </w:r>
    </w:p>
    <w:p w:rsidR="00337B87" w:rsidRPr="00EF7AA1" w:rsidRDefault="00337B87" w:rsidP="00337B87">
      <w:pPr>
        <w:spacing w:after="0" w:line="360" w:lineRule="auto"/>
        <w:ind w:right="851"/>
        <w:rPr>
          <w:rFonts w:ascii="Times New Roman" w:hAnsi="Times New Roman" w:cs="Times New Roman"/>
        </w:rPr>
      </w:pPr>
      <w:r w:rsidRPr="00EF7AA1">
        <w:rPr>
          <w:rFonts w:ascii="Times New Roman" w:hAnsi="Times New Roman" w:cs="Times New Roman"/>
          <w:b/>
          <w:bCs/>
          <w:sz w:val="24"/>
          <w:szCs w:val="24"/>
        </w:rPr>
        <w:t xml:space="preserve">National Center for </w:t>
      </w:r>
      <w:proofErr w:type="spellStart"/>
      <w:r w:rsidRPr="00EF7AA1">
        <w:rPr>
          <w:rFonts w:ascii="Times New Roman" w:hAnsi="Times New Roman" w:cs="Times New Roman"/>
          <w:b/>
          <w:bCs/>
          <w:sz w:val="24"/>
          <w:szCs w:val="24"/>
        </w:rPr>
        <w:t>Environmental</w:t>
      </w:r>
      <w:proofErr w:type="spellEnd"/>
      <w:r w:rsidRPr="00EF7AA1">
        <w:rPr>
          <w:rFonts w:ascii="Times New Roman" w:hAnsi="Times New Roman" w:cs="Times New Roman"/>
          <w:b/>
          <w:bCs/>
          <w:sz w:val="24"/>
          <w:szCs w:val="24"/>
        </w:rPr>
        <w:t xml:space="preserve"> </w:t>
      </w:r>
      <w:proofErr w:type="spellStart"/>
      <w:proofErr w:type="gramStart"/>
      <w:r w:rsidRPr="00EF7AA1">
        <w:rPr>
          <w:rFonts w:ascii="Times New Roman" w:hAnsi="Times New Roman" w:cs="Times New Roman"/>
          <w:b/>
          <w:bCs/>
          <w:sz w:val="24"/>
          <w:szCs w:val="24"/>
        </w:rPr>
        <w:t>Prediction</w:t>
      </w:r>
      <w:proofErr w:type="spellEnd"/>
      <w:r w:rsidRPr="00EF7AA1">
        <w:rPr>
          <w:rFonts w:ascii="Times New Roman" w:hAnsi="Times New Roman" w:cs="Times New Roman"/>
        </w:rPr>
        <w:t>:</w:t>
      </w:r>
      <w:proofErr w:type="gramEnd"/>
    </w:p>
    <w:p w:rsidR="00337B87" w:rsidRDefault="00337B87" w:rsidP="00337B87">
      <w:pPr>
        <w:spacing w:after="0" w:line="360" w:lineRule="auto"/>
        <w:ind w:right="851"/>
        <w:rPr>
          <w:rFonts w:ascii="Times New Roman" w:hAnsi="Times New Roman" w:cs="Times New Roman"/>
          <w:sz w:val="24"/>
          <w:szCs w:val="24"/>
        </w:rPr>
      </w:pPr>
      <w:hyperlink r:id="rId10" w:history="1">
        <w:r w:rsidRPr="00DE6A60">
          <w:rPr>
            <w:rStyle w:val="Lienhypertexte"/>
            <w:rFonts w:ascii="Times New Roman" w:hAnsi="Times New Roman" w:cs="Times New Roman"/>
            <w:sz w:val="24"/>
            <w:szCs w:val="24"/>
          </w:rPr>
          <w:t>http://ingrid.ldgo.columbia.edu/SOURCES/.IGOSS/.nmc/.Reyn_SmithOIv2/.monthly/.sst/</w:t>
        </w:r>
      </w:hyperlink>
      <w:r w:rsidRPr="00DE6A60">
        <w:rPr>
          <w:rFonts w:ascii="Times New Roman" w:hAnsi="Times New Roman" w:cs="Times New Roman"/>
          <w:sz w:val="24"/>
          <w:szCs w:val="24"/>
        </w:rPr>
        <w:t>).</w:t>
      </w:r>
    </w:p>
    <w:p w:rsidR="004065BF" w:rsidRPr="004065BF" w:rsidRDefault="004065BF" w:rsidP="004065BF">
      <w:pPr>
        <w:rPr>
          <w:rFonts w:ascii="Century Gothic" w:hAnsi="Century Gothic" w:cstheme="majorBidi"/>
          <w:sz w:val="24"/>
          <w:szCs w:val="24"/>
          <w:lang w:val="en-US"/>
        </w:rPr>
      </w:pPr>
    </w:p>
    <w:p w:rsidR="00F447FF" w:rsidRPr="004065BF" w:rsidRDefault="004065BF" w:rsidP="004065BF">
      <w:pPr>
        <w:rPr>
          <w:rFonts w:ascii="inherit" w:eastAsia="Times New Roman" w:hAnsi="inherit" w:cs="Courier New"/>
          <w:color w:val="212121"/>
          <w:sz w:val="24"/>
          <w:szCs w:val="24"/>
          <w:lang w:val="en-US" w:eastAsia="fr-FR"/>
        </w:rPr>
      </w:pPr>
      <w:r w:rsidRPr="004065BF">
        <w:rPr>
          <w:rFonts w:ascii="Century Gothic" w:hAnsi="Century Gothic" w:cstheme="majorBidi"/>
          <w:sz w:val="24"/>
          <w:szCs w:val="24"/>
          <w:lang w:val="en-US"/>
        </w:rPr>
        <w:lastRenderedPageBreak/>
        <w:t>Translated with www.DeepL.com/Translator</w:t>
      </w:r>
    </w:p>
    <w:sectPr w:rsidR="00F447FF" w:rsidRPr="004065BF" w:rsidSect="00F447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7E58"/>
    <w:rsid w:val="0010720F"/>
    <w:rsid w:val="00141FAE"/>
    <w:rsid w:val="001E31B8"/>
    <w:rsid w:val="002B317C"/>
    <w:rsid w:val="00337B87"/>
    <w:rsid w:val="003E3FA3"/>
    <w:rsid w:val="004065BF"/>
    <w:rsid w:val="00466A35"/>
    <w:rsid w:val="004A3F91"/>
    <w:rsid w:val="004E472C"/>
    <w:rsid w:val="005A0C0D"/>
    <w:rsid w:val="006621F1"/>
    <w:rsid w:val="006B1E69"/>
    <w:rsid w:val="006E085B"/>
    <w:rsid w:val="0070754A"/>
    <w:rsid w:val="00744260"/>
    <w:rsid w:val="007C220B"/>
    <w:rsid w:val="00810433"/>
    <w:rsid w:val="009B0D84"/>
    <w:rsid w:val="00AB21CD"/>
    <w:rsid w:val="00AE6AD1"/>
    <w:rsid w:val="00B4096C"/>
    <w:rsid w:val="00B915A0"/>
    <w:rsid w:val="00C17793"/>
    <w:rsid w:val="00C369AE"/>
    <w:rsid w:val="00C37C64"/>
    <w:rsid w:val="00C60ADC"/>
    <w:rsid w:val="00C84D2C"/>
    <w:rsid w:val="00CA7E58"/>
    <w:rsid w:val="00EF0248"/>
    <w:rsid w:val="00F447FF"/>
    <w:rsid w:val="00FE15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6608"/>
  <w15:docId w15:val="{8E4D465E-6664-42E3-9146-03A6F209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A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A7E5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5A0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C0D"/>
    <w:rPr>
      <w:rFonts w:ascii="Tahoma" w:hAnsi="Tahoma" w:cs="Tahoma"/>
      <w:sz w:val="16"/>
      <w:szCs w:val="16"/>
    </w:rPr>
  </w:style>
  <w:style w:type="character" w:styleId="Lienhypertexte">
    <w:name w:val="Hyperlink"/>
    <w:basedOn w:val="Policepardfaut"/>
    <w:uiPriority w:val="99"/>
    <w:unhideWhenUsed/>
    <w:rsid w:val="00466A35"/>
    <w:rPr>
      <w:color w:val="0000FF" w:themeColor="hyperlink"/>
      <w:u w:val="single"/>
    </w:rPr>
  </w:style>
  <w:style w:type="table" w:styleId="Grilledutableau">
    <w:name w:val="Table Grid"/>
    <w:basedOn w:val="TableauNormal"/>
    <w:uiPriority w:val="39"/>
    <w:rsid w:val="0070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534">
      <w:bodyDiv w:val="1"/>
      <w:marLeft w:val="0"/>
      <w:marRight w:val="0"/>
      <w:marTop w:val="0"/>
      <w:marBottom w:val="0"/>
      <w:divBdr>
        <w:top w:val="none" w:sz="0" w:space="0" w:color="auto"/>
        <w:left w:val="none" w:sz="0" w:space="0" w:color="auto"/>
        <w:bottom w:val="none" w:sz="0" w:space="0" w:color="auto"/>
        <w:right w:val="none" w:sz="0" w:space="0" w:color="auto"/>
      </w:divBdr>
    </w:div>
    <w:div w:id="238826441">
      <w:bodyDiv w:val="1"/>
      <w:marLeft w:val="0"/>
      <w:marRight w:val="0"/>
      <w:marTop w:val="0"/>
      <w:marBottom w:val="0"/>
      <w:divBdr>
        <w:top w:val="none" w:sz="0" w:space="0" w:color="auto"/>
        <w:left w:val="none" w:sz="0" w:space="0" w:color="auto"/>
        <w:bottom w:val="none" w:sz="0" w:space="0" w:color="auto"/>
        <w:right w:val="none" w:sz="0" w:space="0" w:color="auto"/>
      </w:divBdr>
    </w:div>
    <w:div w:id="409815900">
      <w:bodyDiv w:val="1"/>
      <w:marLeft w:val="0"/>
      <w:marRight w:val="0"/>
      <w:marTop w:val="0"/>
      <w:marBottom w:val="0"/>
      <w:divBdr>
        <w:top w:val="none" w:sz="0" w:space="0" w:color="auto"/>
        <w:left w:val="none" w:sz="0" w:space="0" w:color="auto"/>
        <w:bottom w:val="none" w:sz="0" w:space="0" w:color="auto"/>
        <w:right w:val="none" w:sz="0" w:space="0" w:color="auto"/>
      </w:divBdr>
    </w:div>
    <w:div w:id="491144341">
      <w:bodyDiv w:val="1"/>
      <w:marLeft w:val="0"/>
      <w:marRight w:val="0"/>
      <w:marTop w:val="0"/>
      <w:marBottom w:val="0"/>
      <w:divBdr>
        <w:top w:val="none" w:sz="0" w:space="0" w:color="auto"/>
        <w:left w:val="none" w:sz="0" w:space="0" w:color="auto"/>
        <w:bottom w:val="none" w:sz="0" w:space="0" w:color="auto"/>
        <w:right w:val="none" w:sz="0" w:space="0" w:color="auto"/>
      </w:divBdr>
    </w:div>
    <w:div w:id="545458150">
      <w:bodyDiv w:val="1"/>
      <w:marLeft w:val="0"/>
      <w:marRight w:val="0"/>
      <w:marTop w:val="0"/>
      <w:marBottom w:val="0"/>
      <w:divBdr>
        <w:top w:val="none" w:sz="0" w:space="0" w:color="auto"/>
        <w:left w:val="none" w:sz="0" w:space="0" w:color="auto"/>
        <w:bottom w:val="none" w:sz="0" w:space="0" w:color="auto"/>
        <w:right w:val="none" w:sz="0" w:space="0" w:color="auto"/>
      </w:divBdr>
    </w:div>
    <w:div w:id="654340622">
      <w:bodyDiv w:val="1"/>
      <w:marLeft w:val="0"/>
      <w:marRight w:val="0"/>
      <w:marTop w:val="0"/>
      <w:marBottom w:val="0"/>
      <w:divBdr>
        <w:top w:val="none" w:sz="0" w:space="0" w:color="auto"/>
        <w:left w:val="none" w:sz="0" w:space="0" w:color="auto"/>
        <w:bottom w:val="none" w:sz="0" w:space="0" w:color="auto"/>
        <w:right w:val="none" w:sz="0" w:space="0" w:color="auto"/>
      </w:divBdr>
    </w:div>
    <w:div w:id="709648177">
      <w:bodyDiv w:val="1"/>
      <w:marLeft w:val="0"/>
      <w:marRight w:val="0"/>
      <w:marTop w:val="0"/>
      <w:marBottom w:val="0"/>
      <w:divBdr>
        <w:top w:val="none" w:sz="0" w:space="0" w:color="auto"/>
        <w:left w:val="none" w:sz="0" w:space="0" w:color="auto"/>
        <w:bottom w:val="none" w:sz="0" w:space="0" w:color="auto"/>
        <w:right w:val="none" w:sz="0" w:space="0" w:color="auto"/>
      </w:divBdr>
    </w:div>
    <w:div w:id="735739710">
      <w:bodyDiv w:val="1"/>
      <w:marLeft w:val="0"/>
      <w:marRight w:val="0"/>
      <w:marTop w:val="0"/>
      <w:marBottom w:val="0"/>
      <w:divBdr>
        <w:top w:val="none" w:sz="0" w:space="0" w:color="auto"/>
        <w:left w:val="none" w:sz="0" w:space="0" w:color="auto"/>
        <w:bottom w:val="none" w:sz="0" w:space="0" w:color="auto"/>
        <w:right w:val="none" w:sz="0" w:space="0" w:color="auto"/>
      </w:divBdr>
    </w:div>
    <w:div w:id="917330975">
      <w:bodyDiv w:val="1"/>
      <w:marLeft w:val="0"/>
      <w:marRight w:val="0"/>
      <w:marTop w:val="0"/>
      <w:marBottom w:val="0"/>
      <w:divBdr>
        <w:top w:val="none" w:sz="0" w:space="0" w:color="auto"/>
        <w:left w:val="none" w:sz="0" w:space="0" w:color="auto"/>
        <w:bottom w:val="none" w:sz="0" w:space="0" w:color="auto"/>
        <w:right w:val="none" w:sz="0" w:space="0" w:color="auto"/>
      </w:divBdr>
    </w:div>
    <w:div w:id="950668732">
      <w:bodyDiv w:val="1"/>
      <w:marLeft w:val="0"/>
      <w:marRight w:val="0"/>
      <w:marTop w:val="0"/>
      <w:marBottom w:val="0"/>
      <w:divBdr>
        <w:top w:val="none" w:sz="0" w:space="0" w:color="auto"/>
        <w:left w:val="none" w:sz="0" w:space="0" w:color="auto"/>
        <w:bottom w:val="none" w:sz="0" w:space="0" w:color="auto"/>
        <w:right w:val="none" w:sz="0" w:space="0" w:color="auto"/>
      </w:divBdr>
    </w:div>
    <w:div w:id="1145587085">
      <w:bodyDiv w:val="1"/>
      <w:marLeft w:val="0"/>
      <w:marRight w:val="0"/>
      <w:marTop w:val="0"/>
      <w:marBottom w:val="0"/>
      <w:divBdr>
        <w:top w:val="none" w:sz="0" w:space="0" w:color="auto"/>
        <w:left w:val="none" w:sz="0" w:space="0" w:color="auto"/>
        <w:bottom w:val="none" w:sz="0" w:space="0" w:color="auto"/>
        <w:right w:val="none" w:sz="0" w:space="0" w:color="auto"/>
      </w:divBdr>
    </w:div>
    <w:div w:id="1358387098">
      <w:bodyDiv w:val="1"/>
      <w:marLeft w:val="0"/>
      <w:marRight w:val="0"/>
      <w:marTop w:val="0"/>
      <w:marBottom w:val="0"/>
      <w:divBdr>
        <w:top w:val="none" w:sz="0" w:space="0" w:color="auto"/>
        <w:left w:val="none" w:sz="0" w:space="0" w:color="auto"/>
        <w:bottom w:val="none" w:sz="0" w:space="0" w:color="auto"/>
        <w:right w:val="none" w:sz="0" w:space="0" w:color="auto"/>
      </w:divBdr>
    </w:div>
    <w:div w:id="1632592301">
      <w:bodyDiv w:val="1"/>
      <w:marLeft w:val="0"/>
      <w:marRight w:val="0"/>
      <w:marTop w:val="0"/>
      <w:marBottom w:val="0"/>
      <w:divBdr>
        <w:top w:val="none" w:sz="0" w:space="0" w:color="auto"/>
        <w:left w:val="none" w:sz="0" w:space="0" w:color="auto"/>
        <w:bottom w:val="none" w:sz="0" w:space="0" w:color="auto"/>
        <w:right w:val="none" w:sz="0" w:space="0" w:color="auto"/>
      </w:divBdr>
    </w:div>
    <w:div w:id="1766267453">
      <w:bodyDiv w:val="1"/>
      <w:marLeft w:val="0"/>
      <w:marRight w:val="0"/>
      <w:marTop w:val="0"/>
      <w:marBottom w:val="0"/>
      <w:divBdr>
        <w:top w:val="none" w:sz="0" w:space="0" w:color="auto"/>
        <w:left w:val="none" w:sz="0" w:space="0" w:color="auto"/>
        <w:bottom w:val="none" w:sz="0" w:space="0" w:color="auto"/>
        <w:right w:val="none" w:sz="0" w:space="0" w:color="auto"/>
      </w:divBdr>
    </w:div>
    <w:div w:id="1775705245">
      <w:bodyDiv w:val="1"/>
      <w:marLeft w:val="0"/>
      <w:marRight w:val="0"/>
      <w:marTop w:val="0"/>
      <w:marBottom w:val="0"/>
      <w:divBdr>
        <w:top w:val="none" w:sz="0" w:space="0" w:color="auto"/>
        <w:left w:val="none" w:sz="0" w:space="0" w:color="auto"/>
        <w:bottom w:val="none" w:sz="0" w:space="0" w:color="auto"/>
        <w:right w:val="none" w:sz="0" w:space="0" w:color="auto"/>
      </w:divBdr>
    </w:div>
    <w:div w:id="2054693505">
      <w:bodyDiv w:val="1"/>
      <w:marLeft w:val="0"/>
      <w:marRight w:val="0"/>
      <w:marTop w:val="0"/>
      <w:marBottom w:val="0"/>
      <w:divBdr>
        <w:top w:val="none" w:sz="0" w:space="0" w:color="auto"/>
        <w:left w:val="none" w:sz="0" w:space="0" w:color="auto"/>
        <w:bottom w:val="none" w:sz="0" w:space="0" w:color="auto"/>
        <w:right w:val="none" w:sz="0" w:space="0" w:color="auto"/>
      </w:divBdr>
    </w:div>
    <w:div w:id="2104378460">
      <w:bodyDiv w:val="1"/>
      <w:marLeft w:val="0"/>
      <w:marRight w:val="0"/>
      <w:marTop w:val="0"/>
      <w:marBottom w:val="0"/>
      <w:divBdr>
        <w:top w:val="none" w:sz="0" w:space="0" w:color="auto"/>
        <w:left w:val="none" w:sz="0" w:space="0" w:color="auto"/>
        <w:bottom w:val="none" w:sz="0" w:space="0" w:color="auto"/>
        <w:right w:val="none" w:sz="0" w:space="0" w:color="auto"/>
      </w:divBdr>
    </w:div>
    <w:div w:id="21391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ingrid.ldgo.columbia.edu/SOURCES/.IGOSS/.nmc/.Reyn_SmithOIv2/.monthly/.sst/"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abdoul dia</cp:lastModifiedBy>
  <cp:revision>7</cp:revision>
  <dcterms:created xsi:type="dcterms:W3CDTF">2019-03-12T12:44:00Z</dcterms:created>
  <dcterms:modified xsi:type="dcterms:W3CDTF">2019-03-13T21:25:00Z</dcterms:modified>
</cp:coreProperties>
</file>